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hd w:val="clear"/>
        <w:spacing w:line="360" w:lineRule="auto"/>
        <w:rPr>
          <w:rFonts w:hint="eastAsia" w:asciiTheme="minorEastAsia" w:hAnsiTheme="minorEastAsia" w:eastAsiaTheme="minorEastAsia" w:cstheme="minorEastAsia"/>
          <w:spacing w:val="0"/>
          <w:position w:val="0"/>
          <w:highlight w:val="none"/>
        </w:rPr>
      </w:pPr>
    </w:p>
    <w:p w14:paraId="5EA7DC9A">
      <w:pPr>
        <w:pStyle w:val="6"/>
        <w:shd w:val="clear"/>
        <w:spacing w:line="360" w:lineRule="auto"/>
        <w:rPr>
          <w:rFonts w:hint="eastAsia" w:asciiTheme="minorEastAsia" w:hAnsiTheme="minorEastAsia" w:eastAsiaTheme="minorEastAsia" w:cstheme="minorEastAsia"/>
          <w:spacing w:val="0"/>
          <w:position w:val="0"/>
          <w:highlight w:val="none"/>
        </w:rPr>
      </w:pPr>
    </w:p>
    <w:p w14:paraId="79D8273E">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淮安市采购项目</w:t>
      </w:r>
    </w:p>
    <w:p w14:paraId="72619921">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“全流程不见面交易”</w:t>
      </w:r>
    </w:p>
    <w:p w14:paraId="161FBF44">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Theme="minorEastAsia" w:hAnsiTheme="minorEastAsia" w:eastAsiaTheme="minorEastAsia" w:cstheme="minorEastAsia"/>
          <w:spacing w:val="0"/>
          <w:position w:val="0"/>
          <w:highlight w:val="none"/>
        </w:rPr>
      </w:pPr>
      <w:r>
        <w:rPr>
          <w:rFonts w:hint="eastAsia" w:ascii="方正小标宋_GBK" w:hAnsi="方正小标宋_GBK" w:eastAsia="方正小标宋_GBK" w:cs="方正小标宋_GBK"/>
          <w:b/>
          <w:bCs/>
          <w:spacing w:val="0"/>
          <w:position w:val="0"/>
          <w:sz w:val="64"/>
          <w:szCs w:val="64"/>
          <w:highlight w:val="none"/>
          <w:lang w:val="en-US" w:eastAsia="zh-CN"/>
        </w:rPr>
        <w:t>招标</w:t>
      </w:r>
      <w:r>
        <w:rPr>
          <w:rFonts w:hint="eastAsia" w:ascii="方正小标宋_GBK" w:hAnsi="方正小标宋_GBK" w:eastAsia="方正小标宋_GBK" w:cs="方正小标宋_GBK"/>
          <w:b/>
          <w:bCs/>
          <w:spacing w:val="0"/>
          <w:position w:val="0"/>
          <w:sz w:val="64"/>
          <w:szCs w:val="64"/>
          <w:highlight w:val="none"/>
        </w:rPr>
        <w:t>文件</w:t>
      </w:r>
    </w:p>
    <w:p w14:paraId="6CA5B143">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460BCC9D">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6D112704">
      <w:pPr>
        <w:shd w:val="clear"/>
        <w:spacing w:before="114" w:line="360" w:lineRule="auto"/>
        <w:ind w:left="566" w:firstLine="350" w:firstLineChars="100"/>
        <w:outlineLvl w:val="9"/>
        <w:rPr>
          <w:rFonts w:hint="eastAsia" w:asciiTheme="minorEastAsia" w:hAnsiTheme="minorEastAsia" w:eastAsiaTheme="minorEastAsia" w:cstheme="minorEastAsia"/>
          <w:b w:val="0"/>
          <w:bCs w:val="0"/>
          <w:spacing w:val="0"/>
          <w:position w:val="0"/>
          <w:highlight w:val="none"/>
        </w:rPr>
      </w:pPr>
      <w:r>
        <w:rPr>
          <w:rFonts w:hint="eastAsia" w:asciiTheme="minorEastAsia" w:hAnsiTheme="minorEastAsia" w:eastAsiaTheme="minorEastAsia" w:cstheme="minorEastAsia"/>
          <w:b w:val="0"/>
          <w:bCs w:val="0"/>
          <w:spacing w:val="0"/>
          <w:position w:val="0"/>
          <w:sz w:val="35"/>
          <w:szCs w:val="35"/>
          <w:highlight w:val="none"/>
        </w:rPr>
        <w:t>项目名称：</w:t>
      </w:r>
      <w:r>
        <w:rPr>
          <w:rFonts w:hint="eastAsia" w:asciiTheme="minorEastAsia" w:hAnsiTheme="minorEastAsia" w:eastAsiaTheme="minorEastAsia" w:cstheme="minorEastAsia"/>
          <w:b w:val="0"/>
          <w:bCs w:val="0"/>
          <w:spacing w:val="0"/>
          <w:position w:val="0"/>
          <w:sz w:val="35"/>
          <w:szCs w:val="35"/>
          <w:highlight w:val="none"/>
          <w:lang w:eastAsia="zh-CN"/>
        </w:rPr>
        <w:t>淮安市卫生健康委员会医疗设备集中采购项目</w:t>
      </w:r>
    </w:p>
    <w:p w14:paraId="6016A85A">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rPr>
        <w:t>项目编号：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w:t>
      </w:r>
    </w:p>
    <w:p w14:paraId="285659B6">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lang w:val="en-US" w:eastAsia="zh-CN"/>
        </w:rPr>
        <w:t>标段</w:t>
      </w:r>
      <w:r>
        <w:rPr>
          <w:rFonts w:hint="eastAsia" w:asciiTheme="minorEastAsia" w:hAnsiTheme="minorEastAsia" w:eastAsiaTheme="minorEastAsia" w:cstheme="minorEastAsia"/>
          <w:b w:val="0"/>
          <w:bCs w:val="0"/>
          <w:spacing w:val="0"/>
          <w:position w:val="0"/>
          <w:sz w:val="35"/>
          <w:szCs w:val="35"/>
          <w:highlight w:val="none"/>
        </w:rPr>
        <w:t>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HAYX-2026050050-011</w:t>
      </w:r>
    </w:p>
    <w:p w14:paraId="460B3956">
      <w:pPr>
        <w:shd w:val="clear"/>
        <w:spacing w:before="113" w:line="360" w:lineRule="auto"/>
        <w:ind w:left="566"/>
        <w:outlineLvl w:val="9"/>
        <w:rPr>
          <w:rFonts w:hint="eastAsia" w:asciiTheme="minorEastAsia" w:hAnsiTheme="minorEastAsia" w:eastAsiaTheme="minorEastAsia" w:cstheme="minorEastAsia"/>
          <w:b/>
          <w:bCs/>
          <w:spacing w:val="0"/>
          <w:position w:val="0"/>
          <w:sz w:val="35"/>
          <w:szCs w:val="35"/>
          <w:highlight w:val="none"/>
          <w:lang w:eastAsia="zh-CN"/>
        </w:rPr>
      </w:pPr>
    </w:p>
    <w:p w14:paraId="0262027F">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D3879C7">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628FBCB2">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074102C5">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EFD2776">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5BE1A7A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spacing w:val="0"/>
          <w:position w:val="0"/>
          <w:sz w:val="35"/>
          <w:szCs w:val="35"/>
          <w:highlight w:val="none"/>
          <w:lang w:val="en-US"/>
        </w:rPr>
      </w:pPr>
      <w:r>
        <w:rPr>
          <w:rFonts w:hint="eastAsia" w:asciiTheme="minorEastAsia" w:hAnsiTheme="minorEastAsia" w:eastAsiaTheme="minorEastAsia" w:cstheme="minorEastAsia"/>
          <w:b/>
          <w:bCs/>
          <w:spacing w:val="0"/>
          <w:position w:val="0"/>
          <w:sz w:val="35"/>
          <w:szCs w:val="35"/>
          <w:highlight w:val="none"/>
          <w:lang w:eastAsia="zh-CN"/>
        </w:rPr>
        <w:t>江苏京立资产评估咨询有限公司</w:t>
      </w:r>
    </w:p>
    <w:p w14:paraId="3CACEA5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pPr>
      <w:r>
        <w:rPr>
          <w:rFonts w:hint="eastAsia" w:asciiTheme="minorEastAsia" w:hAnsiTheme="minorEastAsia" w:eastAsiaTheme="minorEastAsia" w:cstheme="minorEastAsia"/>
          <w:b/>
          <w:bCs/>
          <w:spacing w:val="0"/>
          <w:position w:val="0"/>
          <w:sz w:val="35"/>
          <w:szCs w:val="35"/>
          <w:highlight w:val="none"/>
          <w:lang w:val="en-US" w:eastAsia="zh-CN"/>
        </w:rPr>
        <w:t>二〇二六年六月</w:t>
      </w:r>
    </w:p>
    <w:p w14:paraId="2E89C08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sectPr>
          <w:headerReference r:id="rId5" w:type="default"/>
          <w:footerReference r:id="rId6" w:type="default"/>
          <w:pgSz w:w="11906" w:h="16839"/>
          <w:pgMar w:top="1440" w:right="1080" w:bottom="1440" w:left="1080" w:header="866" w:footer="994" w:gutter="0"/>
          <w:cols w:space="720" w:num="1"/>
        </w:sectPr>
      </w:pPr>
    </w:p>
    <w:p w14:paraId="62BF04A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方正小标宋_GBK" w:hAnsi="方正小标宋_GBK" w:eastAsia="方正小标宋_GBK" w:cs="方正小标宋_GBK"/>
          <w:spacing w:val="0"/>
          <w:position w:val="0"/>
          <w:sz w:val="43"/>
          <w:szCs w:val="43"/>
          <w:highlight w:val="none"/>
        </w:rPr>
      </w:pPr>
      <w:r>
        <w:rPr>
          <w:rFonts w:hint="eastAsia" w:ascii="方正小标宋_GBK" w:hAnsi="方正小标宋_GBK" w:eastAsia="方正小标宋_GBK" w:cs="方正小标宋_GBK"/>
          <w:spacing w:val="0"/>
          <w:position w:val="0"/>
          <w:sz w:val="43"/>
          <w:szCs w:val="43"/>
          <w:highlight w:val="none"/>
          <w:lang w:val="en-US" w:eastAsia="zh-CN"/>
        </w:rPr>
        <w:t>招标</w:t>
      </w:r>
      <w:r>
        <w:rPr>
          <w:rFonts w:hint="eastAsia" w:ascii="方正小标宋_GBK" w:hAnsi="方正小标宋_GBK" w:eastAsia="方正小标宋_GBK" w:cs="方正小标宋_GBK"/>
          <w:spacing w:val="0"/>
          <w:position w:val="0"/>
          <w:sz w:val="43"/>
          <w:szCs w:val="43"/>
          <w:highlight w:val="none"/>
        </w:rPr>
        <w:t>文件审查签章栏</w:t>
      </w:r>
    </w:p>
    <w:tbl>
      <w:tblPr>
        <w:tblStyle w:val="17"/>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18"/>
              <w:shd w:val="clear"/>
              <w:spacing w:before="91" w:line="360" w:lineRule="auto"/>
              <w:ind w:left="180"/>
              <w:jc w:val="both"/>
              <w:rPr>
                <w:rFonts w:hint="eastAsia" w:asciiTheme="minorEastAsia" w:hAnsiTheme="minorEastAsia" w:eastAsiaTheme="minorEastAsia" w:cstheme="minorEastAsia"/>
                <w:spacing w:val="0"/>
                <w:position w:val="0"/>
                <w:sz w:val="28"/>
                <w:szCs w:val="28"/>
                <w:highlight w:val="none"/>
              </w:rPr>
            </w:pPr>
            <w:r>
              <w:rPr>
                <w:rFonts w:hint="eastAsia" w:ascii="黑体" w:hAnsi="黑体" w:eastAsia="黑体" w:cs="黑体"/>
                <w:spacing w:val="0"/>
                <w:position w:val="0"/>
                <w:sz w:val="28"/>
                <w:szCs w:val="28"/>
                <w:highlight w:val="none"/>
              </w:rPr>
              <w:t>项目名称</w:t>
            </w:r>
          </w:p>
        </w:tc>
        <w:tc>
          <w:tcPr>
            <w:tcW w:w="8061" w:type="dxa"/>
            <w:vAlign w:val="center"/>
          </w:tcPr>
          <w:p w14:paraId="28EE5760">
            <w:pPr>
              <w:pStyle w:val="18"/>
              <w:shd w:val="clear"/>
              <w:spacing w:before="100" w:line="360" w:lineRule="auto"/>
              <w:ind w:left="131"/>
              <w:jc w:val="center"/>
              <w:rPr>
                <w:rFonts w:hint="eastAsia" w:asciiTheme="minorEastAsia" w:hAnsiTheme="minorEastAsia" w:eastAsiaTheme="minorEastAsia" w:cstheme="minorEastAsia"/>
                <w:spacing w:val="0"/>
                <w:position w:val="0"/>
                <w:sz w:val="31"/>
                <w:szCs w:val="31"/>
                <w:highlight w:val="none"/>
                <w:lang w:eastAsia="zh-CN"/>
              </w:rPr>
            </w:pPr>
            <w:r>
              <w:rPr>
                <w:rFonts w:hint="eastAsia" w:ascii="方正仿宋_GBK" w:hAnsi="方正仿宋_GBK" w:eastAsia="方正仿宋_GBK" w:cs="方正仿宋_GBK"/>
                <w:spacing w:val="0"/>
                <w:position w:val="0"/>
                <w:sz w:val="28"/>
                <w:szCs w:val="28"/>
                <w:highlight w:val="none"/>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vAlign w:val="top"/>
          </w:tcPr>
          <w:p w14:paraId="474AD33A">
            <w:pPr>
              <w:pStyle w:val="18"/>
              <w:shd w:val="clear"/>
              <w:spacing w:before="98"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采购人（盖章）</w:t>
            </w:r>
          </w:p>
          <w:p w14:paraId="32020AA0">
            <w:pPr>
              <w:shd w:val="clear"/>
              <w:spacing w:line="360" w:lineRule="auto"/>
              <w:rPr>
                <w:rFonts w:hint="eastAsia" w:asciiTheme="minorEastAsia" w:hAnsiTheme="minorEastAsia" w:eastAsiaTheme="minorEastAsia" w:cstheme="minorEastAsia"/>
                <w:spacing w:val="0"/>
                <w:position w:val="0"/>
                <w:sz w:val="21"/>
                <w:highlight w:val="none"/>
              </w:rPr>
            </w:pPr>
          </w:p>
          <w:p w14:paraId="0214D433">
            <w:pPr>
              <w:shd w:val="clear"/>
              <w:spacing w:line="360" w:lineRule="auto"/>
              <w:rPr>
                <w:rFonts w:hint="eastAsia" w:asciiTheme="minorEastAsia" w:hAnsiTheme="minorEastAsia" w:eastAsiaTheme="minorEastAsia" w:cstheme="minorEastAsia"/>
                <w:spacing w:val="0"/>
                <w:position w:val="0"/>
                <w:sz w:val="21"/>
                <w:highlight w:val="none"/>
              </w:rPr>
            </w:pPr>
          </w:p>
          <w:p w14:paraId="29807016">
            <w:pPr>
              <w:shd w:val="clear"/>
              <w:spacing w:line="360" w:lineRule="auto"/>
              <w:rPr>
                <w:rFonts w:hint="eastAsia" w:asciiTheme="minorEastAsia" w:hAnsiTheme="minorEastAsia" w:eastAsiaTheme="minorEastAsia" w:cstheme="minorEastAsia"/>
                <w:spacing w:val="0"/>
                <w:position w:val="0"/>
                <w:sz w:val="21"/>
                <w:highlight w:val="none"/>
              </w:rPr>
            </w:pPr>
          </w:p>
          <w:p w14:paraId="2F0941E4">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1083BBAC">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493C2B25">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vAlign w:val="top"/>
          </w:tcPr>
          <w:p w14:paraId="738E4D57">
            <w:pPr>
              <w:pStyle w:val="18"/>
              <w:shd w:val="clear"/>
              <w:spacing w:before="97"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采购代理单位（盖章）</w:t>
            </w:r>
          </w:p>
          <w:p w14:paraId="574A7CFF">
            <w:pPr>
              <w:shd w:val="clear"/>
              <w:spacing w:line="360" w:lineRule="auto"/>
              <w:rPr>
                <w:rFonts w:hint="eastAsia" w:asciiTheme="minorEastAsia" w:hAnsiTheme="minorEastAsia" w:eastAsiaTheme="minorEastAsia" w:cstheme="minorEastAsia"/>
                <w:spacing w:val="0"/>
                <w:position w:val="0"/>
                <w:sz w:val="21"/>
                <w:highlight w:val="none"/>
              </w:rPr>
            </w:pPr>
          </w:p>
          <w:p w14:paraId="7E76B31C">
            <w:pPr>
              <w:shd w:val="clear"/>
              <w:spacing w:line="360" w:lineRule="auto"/>
              <w:rPr>
                <w:rFonts w:hint="eastAsia" w:asciiTheme="minorEastAsia" w:hAnsiTheme="minorEastAsia" w:eastAsiaTheme="minorEastAsia" w:cstheme="minorEastAsia"/>
                <w:spacing w:val="0"/>
                <w:position w:val="0"/>
                <w:sz w:val="21"/>
                <w:highlight w:val="none"/>
              </w:rPr>
            </w:pPr>
          </w:p>
          <w:p w14:paraId="18025264">
            <w:pPr>
              <w:shd w:val="clear"/>
              <w:spacing w:line="360" w:lineRule="auto"/>
              <w:rPr>
                <w:rFonts w:hint="eastAsia" w:asciiTheme="minorEastAsia" w:hAnsiTheme="minorEastAsia" w:eastAsiaTheme="minorEastAsia" w:cstheme="minorEastAsia"/>
                <w:spacing w:val="0"/>
                <w:position w:val="0"/>
                <w:sz w:val="21"/>
                <w:highlight w:val="none"/>
              </w:rPr>
            </w:pPr>
          </w:p>
          <w:p w14:paraId="2E70CB80">
            <w:pPr>
              <w:shd w:val="clear"/>
              <w:spacing w:line="360" w:lineRule="auto"/>
              <w:rPr>
                <w:rFonts w:hint="eastAsia" w:asciiTheme="minorEastAsia" w:hAnsiTheme="minorEastAsia" w:eastAsiaTheme="minorEastAsia" w:cstheme="minorEastAsia"/>
                <w:spacing w:val="0"/>
                <w:position w:val="0"/>
                <w:sz w:val="21"/>
                <w:highlight w:val="none"/>
              </w:rPr>
            </w:pPr>
          </w:p>
          <w:p w14:paraId="30140191">
            <w:pPr>
              <w:shd w:val="clear"/>
              <w:spacing w:line="360" w:lineRule="auto"/>
              <w:rPr>
                <w:rFonts w:hint="eastAsia" w:asciiTheme="minorEastAsia" w:hAnsiTheme="minorEastAsia" w:eastAsiaTheme="minorEastAsia" w:cstheme="minorEastAsia"/>
                <w:spacing w:val="0"/>
                <w:position w:val="0"/>
                <w:sz w:val="21"/>
                <w:highlight w:val="none"/>
              </w:rPr>
            </w:pPr>
          </w:p>
          <w:p w14:paraId="57C42C3B">
            <w:pPr>
              <w:pStyle w:val="18"/>
              <w:shd w:val="clear"/>
              <w:spacing w:before="98" w:line="360" w:lineRule="auto"/>
              <w:ind w:left="6271"/>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vAlign w:val="top"/>
          </w:tcPr>
          <w:p w14:paraId="12F9E1AC">
            <w:pPr>
              <w:pStyle w:val="18"/>
              <w:shd w:val="clear"/>
              <w:spacing w:before="98" w:line="360" w:lineRule="auto"/>
              <w:ind w:left="136"/>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监管部门（盖章）</w:t>
            </w:r>
          </w:p>
          <w:p w14:paraId="72D5F486">
            <w:pPr>
              <w:shd w:val="clear"/>
              <w:spacing w:line="360" w:lineRule="auto"/>
              <w:rPr>
                <w:rFonts w:hint="eastAsia" w:asciiTheme="minorEastAsia" w:hAnsiTheme="minorEastAsia" w:eastAsiaTheme="minorEastAsia" w:cstheme="minorEastAsia"/>
                <w:spacing w:val="0"/>
                <w:position w:val="0"/>
                <w:sz w:val="21"/>
                <w:highlight w:val="none"/>
              </w:rPr>
            </w:pPr>
          </w:p>
          <w:p w14:paraId="2B68118D">
            <w:pPr>
              <w:shd w:val="clear"/>
              <w:spacing w:line="360" w:lineRule="auto"/>
              <w:rPr>
                <w:rFonts w:hint="eastAsia" w:asciiTheme="minorEastAsia" w:hAnsiTheme="minorEastAsia" w:eastAsiaTheme="minorEastAsia" w:cstheme="minorEastAsia"/>
                <w:spacing w:val="0"/>
                <w:position w:val="0"/>
                <w:sz w:val="21"/>
                <w:highlight w:val="none"/>
              </w:rPr>
            </w:pPr>
          </w:p>
          <w:p w14:paraId="2C6F45C3">
            <w:pPr>
              <w:shd w:val="clear"/>
              <w:spacing w:line="360" w:lineRule="auto"/>
              <w:rPr>
                <w:rFonts w:hint="eastAsia" w:asciiTheme="minorEastAsia" w:hAnsiTheme="minorEastAsia" w:eastAsiaTheme="minorEastAsia" w:cstheme="minorEastAsia"/>
                <w:spacing w:val="0"/>
                <w:position w:val="0"/>
                <w:sz w:val="21"/>
                <w:highlight w:val="none"/>
              </w:rPr>
            </w:pPr>
          </w:p>
          <w:p w14:paraId="585884FC">
            <w:pPr>
              <w:shd w:val="clear"/>
              <w:spacing w:line="360" w:lineRule="auto"/>
              <w:rPr>
                <w:rFonts w:hint="eastAsia" w:asciiTheme="minorEastAsia" w:hAnsiTheme="minorEastAsia" w:eastAsiaTheme="minorEastAsia" w:cstheme="minorEastAsia"/>
                <w:spacing w:val="0"/>
                <w:position w:val="0"/>
                <w:sz w:val="21"/>
                <w:highlight w:val="none"/>
              </w:rPr>
            </w:pPr>
          </w:p>
          <w:p w14:paraId="1B82C487">
            <w:pPr>
              <w:shd w:val="clear"/>
              <w:spacing w:line="360" w:lineRule="auto"/>
              <w:rPr>
                <w:rFonts w:hint="eastAsia" w:asciiTheme="minorEastAsia" w:hAnsiTheme="minorEastAsia" w:eastAsiaTheme="minorEastAsia" w:cstheme="minorEastAsia"/>
                <w:b/>
                <w:bCs/>
                <w:spacing w:val="0"/>
                <w:position w:val="0"/>
                <w:sz w:val="21"/>
                <w:highlight w:val="none"/>
              </w:rPr>
            </w:pPr>
          </w:p>
          <w:p w14:paraId="47B3965B">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bl>
    <w:p w14:paraId="70320A97">
      <w:pPr>
        <w:pStyle w:val="6"/>
        <w:shd w:val="clear"/>
        <w:spacing w:line="360" w:lineRule="auto"/>
        <w:rPr>
          <w:rFonts w:hint="eastAsia" w:asciiTheme="minorEastAsia" w:hAnsiTheme="minorEastAsia" w:eastAsiaTheme="minorEastAsia" w:cstheme="minorEastAsia"/>
          <w:spacing w:val="0"/>
          <w:position w:val="0"/>
          <w:highlight w:val="none"/>
        </w:rPr>
      </w:pPr>
    </w:p>
    <w:p w14:paraId="3B472175">
      <w:pPr>
        <w:shd w:val="clear"/>
        <w:spacing w:line="360" w:lineRule="auto"/>
        <w:rPr>
          <w:rFonts w:hint="eastAsia" w:asciiTheme="minorEastAsia" w:hAnsiTheme="minorEastAsia" w:eastAsiaTheme="minorEastAsia" w:cstheme="minorEastAsia"/>
          <w:spacing w:val="0"/>
          <w:position w:val="0"/>
          <w:highlight w:val="none"/>
        </w:rPr>
        <w:sectPr>
          <w:headerReference r:id="rId7" w:type="default"/>
          <w:footerReference r:id="rId8"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snapToGrid w:val="0"/>
          <w:color w:val="000000"/>
          <w:kern w:val="0"/>
          <w:sz w:val="21"/>
          <w:szCs w:val="21"/>
          <w:highlight w:val="none"/>
          <w:lang w:val="en-US" w:eastAsia="en-US" w:bidi="ar-SA"/>
        </w:rPr>
        <w:id w:val="147477642"/>
        <w15:color w:val="DBDBDB"/>
        <w:docPartObj>
          <w:docPartGallery w:val="Table of Contents"/>
          <w:docPartUnique/>
        </w:docPartObj>
      </w:sdtPr>
      <w:sdtEndPr>
        <w:rPr>
          <w:rFonts w:hint="eastAsia" w:asciiTheme="minorEastAsia" w:hAnsiTheme="minorEastAsia" w:eastAsiaTheme="minorEastAsia" w:cstheme="minorEastAsia"/>
          <w:b/>
          <w:snapToGrid w:val="0"/>
          <w:color w:val="000000"/>
          <w:spacing w:val="0"/>
          <w:kern w:val="0"/>
          <w:position w:val="0"/>
          <w:sz w:val="21"/>
          <w:szCs w:val="28"/>
          <w:highlight w:val="none"/>
          <w:lang w:val="en-US" w:eastAsia="en-US" w:bidi="ar-SA"/>
        </w:rPr>
      </w:sdtEndPr>
      <w:sdtContent>
        <w:p w14:paraId="08E335A2">
          <w:pPr>
            <w:shd w:val="clear"/>
            <w:spacing w:before="0" w:beforeLines="0" w:after="0" w:afterLines="0" w:line="240" w:lineRule="auto"/>
            <w:ind w:left="0" w:leftChars="0" w:right="0" w:rightChars="0" w:firstLine="0" w:firstLineChars="0"/>
            <w:jc w:val="center"/>
            <w:rPr>
              <w:rFonts w:hint="eastAsia" w:ascii="黑体" w:hAnsi="黑体" w:eastAsia="黑体" w:cs="黑体"/>
              <w:highlight w:val="none"/>
            </w:rPr>
          </w:pPr>
          <w:r>
            <w:rPr>
              <w:rFonts w:hint="eastAsia" w:ascii="黑体" w:hAnsi="黑体" w:eastAsia="黑体" w:cs="黑体"/>
              <w:sz w:val="36"/>
              <w:szCs w:val="36"/>
              <w:highlight w:val="none"/>
            </w:rPr>
            <w:t>目</w:t>
          </w:r>
          <w:r>
            <w:rPr>
              <w:rFonts w:hint="eastAsia" w:ascii="黑体" w:hAnsi="黑体" w:eastAsia="黑体" w:cs="黑体"/>
              <w:sz w:val="36"/>
              <w:szCs w:val="36"/>
              <w:highlight w:val="none"/>
              <w:lang w:val="en-US" w:eastAsia="zh-CN"/>
            </w:rPr>
            <w:t xml:space="preserve"> </w:t>
          </w:r>
          <w:r>
            <w:rPr>
              <w:rFonts w:hint="eastAsia" w:ascii="黑体" w:hAnsi="黑体" w:eastAsia="黑体" w:cs="黑体"/>
              <w:sz w:val="36"/>
              <w:szCs w:val="36"/>
              <w:highlight w:val="none"/>
            </w:rPr>
            <w:t>录</w:t>
          </w:r>
        </w:p>
        <w:p w14:paraId="05C7E730">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instrText xml:space="preserve">TOC \o "1-2" \h \u </w:instrText>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_Toc6351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spacing w:val="0"/>
              <w:position w:val="0"/>
              <w:sz w:val="24"/>
              <w:szCs w:val="24"/>
              <w:highlight w:val="none"/>
            </w:rPr>
            <w:t>第一章</w:t>
          </w:r>
          <w:r>
            <w:rPr>
              <w:rFonts w:hint="eastAsia" w:ascii="黑体" w:hAnsi="黑体" w:eastAsia="黑体" w:cs="黑体"/>
              <w:spacing w:val="0"/>
              <w:position w:val="0"/>
              <w:sz w:val="24"/>
              <w:szCs w:val="24"/>
              <w:highlight w:val="none"/>
            </w:rPr>
            <w:t xml:space="preserve"> </w:t>
          </w:r>
          <w:r>
            <w:rPr>
              <w:rFonts w:hint="eastAsia" w:ascii="黑体" w:hAnsi="黑体" w:eastAsia="黑体" w:cs="黑体"/>
              <w:bCs/>
              <w:spacing w:val="0"/>
              <w:position w:val="0"/>
              <w:sz w:val="24"/>
              <w:szCs w:val="24"/>
              <w:highlight w:val="none"/>
              <w:lang w:val="en-US" w:eastAsia="zh-CN"/>
            </w:rPr>
            <w:t>投标</w:t>
          </w:r>
          <w:r>
            <w:rPr>
              <w:rFonts w:hint="eastAsia" w:ascii="黑体" w:hAnsi="黑体" w:eastAsia="黑体" w:cs="黑体"/>
              <w:bCs/>
              <w:spacing w:val="0"/>
              <w:position w:val="0"/>
              <w:sz w:val="24"/>
              <w:szCs w:val="24"/>
              <w:highlight w:val="none"/>
            </w:rPr>
            <w:t>邀请</w:t>
          </w:r>
          <w:r>
            <w:rPr>
              <w:sz w:val="24"/>
              <w:szCs w:val="24"/>
            </w:rPr>
            <w:tab/>
          </w:r>
          <w:r>
            <w:rPr>
              <w:sz w:val="24"/>
              <w:szCs w:val="24"/>
            </w:rPr>
            <w:fldChar w:fldCharType="begin"/>
          </w:r>
          <w:r>
            <w:rPr>
              <w:sz w:val="24"/>
              <w:szCs w:val="24"/>
            </w:rPr>
            <w:instrText xml:space="preserve"> PAGEREF _Toc6351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DD8D96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_Toc5671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一、项目基本情况</w:t>
          </w:r>
          <w:r>
            <w:rPr>
              <w:sz w:val="24"/>
              <w:szCs w:val="24"/>
            </w:rPr>
            <w:tab/>
          </w:r>
          <w:r>
            <w:rPr>
              <w:sz w:val="24"/>
              <w:szCs w:val="24"/>
            </w:rPr>
            <w:fldChar w:fldCharType="begin"/>
          </w:r>
          <w:r>
            <w:rPr>
              <w:sz w:val="24"/>
              <w:szCs w:val="24"/>
            </w:rPr>
            <w:instrText xml:space="preserve"> PAGEREF _Toc5671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6C0C36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_Toc20714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二、申请人的资格要求</w:t>
          </w:r>
          <w:r>
            <w:rPr>
              <w:sz w:val="24"/>
              <w:szCs w:val="24"/>
            </w:rPr>
            <w:tab/>
          </w:r>
          <w:r>
            <w:rPr>
              <w:sz w:val="24"/>
              <w:szCs w:val="24"/>
            </w:rPr>
            <w:fldChar w:fldCharType="begin"/>
          </w:r>
          <w:r>
            <w:rPr>
              <w:sz w:val="24"/>
              <w:szCs w:val="24"/>
            </w:rPr>
            <w:instrText xml:space="preserve"> PAGEREF _Toc20714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9C6C42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_Toc23087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三、获取</w:t>
          </w:r>
          <w:r>
            <w:rPr>
              <w:rFonts w:hint="eastAsia" w:ascii="宋体" w:hAnsi="宋体" w:eastAsia="宋体" w:cs="宋体"/>
              <w:bCs/>
              <w:snapToGrid w:val="0"/>
              <w:spacing w:val="0"/>
              <w:kern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_Toc23087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8D5C50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_Toc23529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四、提交</w:t>
          </w:r>
          <w:r>
            <w:rPr>
              <w:rFonts w:hint="eastAsia" w:ascii="宋体" w:hAnsi="宋体" w:eastAsia="宋体" w:cs="宋体"/>
              <w:bCs/>
              <w:snapToGrid w:val="0"/>
              <w:spacing w:val="0"/>
              <w:kern w:val="0"/>
              <w:position w:val="0"/>
              <w:sz w:val="24"/>
              <w:szCs w:val="24"/>
              <w:highlight w:val="none"/>
              <w:lang w:eastAsia="zh-CN"/>
            </w:rPr>
            <w:t>投标文件</w:t>
          </w:r>
          <w:r>
            <w:rPr>
              <w:rFonts w:hint="eastAsia" w:ascii="宋体" w:hAnsi="宋体" w:eastAsia="宋体" w:cs="宋体"/>
              <w:bCs/>
              <w:snapToGrid w:val="0"/>
              <w:spacing w:val="0"/>
              <w:kern w:val="0"/>
              <w:position w:val="0"/>
              <w:sz w:val="24"/>
              <w:szCs w:val="24"/>
              <w:highlight w:val="none"/>
              <w:lang w:eastAsia="en-US"/>
            </w:rPr>
            <w:t>截止时间、</w:t>
          </w:r>
          <w:r>
            <w:rPr>
              <w:rFonts w:hint="eastAsia" w:ascii="宋体" w:hAnsi="宋体" w:eastAsia="宋体" w:cs="宋体"/>
              <w:bCs/>
              <w:snapToGrid w:val="0"/>
              <w:spacing w:val="0"/>
              <w:kern w:val="0"/>
              <w:position w:val="0"/>
              <w:sz w:val="24"/>
              <w:szCs w:val="24"/>
              <w:highlight w:val="none"/>
              <w:lang w:eastAsia="zh-CN"/>
            </w:rPr>
            <w:t>投标</w:t>
          </w:r>
          <w:r>
            <w:rPr>
              <w:rFonts w:hint="eastAsia" w:ascii="宋体" w:hAnsi="宋体" w:eastAsia="宋体" w:cs="宋体"/>
              <w:bCs/>
              <w:snapToGrid w:val="0"/>
              <w:spacing w:val="0"/>
              <w:kern w:val="0"/>
              <w:position w:val="0"/>
              <w:sz w:val="24"/>
              <w:szCs w:val="24"/>
              <w:highlight w:val="none"/>
              <w:lang w:eastAsia="en-US"/>
            </w:rPr>
            <w:t>时间和地点</w:t>
          </w:r>
          <w:r>
            <w:rPr>
              <w:sz w:val="24"/>
              <w:szCs w:val="24"/>
            </w:rPr>
            <w:tab/>
          </w:r>
          <w:r>
            <w:rPr>
              <w:sz w:val="24"/>
              <w:szCs w:val="24"/>
            </w:rPr>
            <w:fldChar w:fldCharType="begin"/>
          </w:r>
          <w:r>
            <w:rPr>
              <w:sz w:val="24"/>
              <w:szCs w:val="24"/>
            </w:rPr>
            <w:instrText xml:space="preserve"> PAGEREF _Toc23529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16FB1D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_Toc24462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五、公告期限</w:t>
          </w:r>
          <w:r>
            <w:rPr>
              <w:sz w:val="24"/>
              <w:szCs w:val="24"/>
            </w:rPr>
            <w:tab/>
          </w:r>
          <w:r>
            <w:rPr>
              <w:sz w:val="24"/>
              <w:szCs w:val="24"/>
            </w:rPr>
            <w:fldChar w:fldCharType="begin"/>
          </w:r>
          <w:r>
            <w:rPr>
              <w:sz w:val="24"/>
              <w:szCs w:val="24"/>
            </w:rPr>
            <w:instrText xml:space="preserve"> PAGEREF _Toc24462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7278B5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_Toc21972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六、其他补充事宜</w:t>
          </w:r>
          <w:r>
            <w:rPr>
              <w:sz w:val="24"/>
              <w:szCs w:val="24"/>
            </w:rPr>
            <w:tab/>
          </w:r>
          <w:r>
            <w:rPr>
              <w:sz w:val="24"/>
              <w:szCs w:val="24"/>
            </w:rPr>
            <w:fldChar w:fldCharType="begin"/>
          </w:r>
          <w:r>
            <w:rPr>
              <w:sz w:val="24"/>
              <w:szCs w:val="24"/>
            </w:rPr>
            <w:instrText xml:space="preserve"> PAGEREF _Toc21972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BD8113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_Toc23631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七、对本次采购提出询问，请按以下方式联系。</w:t>
          </w:r>
          <w:r>
            <w:rPr>
              <w:sz w:val="24"/>
              <w:szCs w:val="24"/>
            </w:rPr>
            <w:tab/>
          </w:r>
          <w:r>
            <w:rPr>
              <w:sz w:val="24"/>
              <w:szCs w:val="24"/>
            </w:rPr>
            <w:fldChar w:fldCharType="begin"/>
          </w:r>
          <w:r>
            <w:rPr>
              <w:sz w:val="24"/>
              <w:szCs w:val="24"/>
            </w:rPr>
            <w:instrText xml:space="preserve"> PAGEREF _Toc23631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602474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_Toc1577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八、“全流程不见面交易采购”注意事项</w:t>
          </w:r>
          <w:r>
            <w:rPr>
              <w:sz w:val="24"/>
              <w:szCs w:val="24"/>
            </w:rPr>
            <w:tab/>
          </w:r>
          <w:r>
            <w:rPr>
              <w:sz w:val="24"/>
              <w:szCs w:val="24"/>
            </w:rPr>
            <w:fldChar w:fldCharType="begin"/>
          </w:r>
          <w:r>
            <w:rPr>
              <w:sz w:val="24"/>
              <w:szCs w:val="24"/>
            </w:rPr>
            <w:instrText xml:space="preserve"> PAGEREF _Toc1577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DAF632C">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_Toc9515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第二章 </w:t>
          </w:r>
          <w:r>
            <w:rPr>
              <w:rFonts w:hint="eastAsia" w:ascii="黑体" w:hAnsi="黑体" w:eastAsia="黑体" w:cs="黑体"/>
              <w:bCs w:val="0"/>
              <w:spacing w:val="0"/>
              <w:position w:val="0"/>
              <w:sz w:val="24"/>
              <w:szCs w:val="24"/>
              <w:highlight w:val="none"/>
              <w:lang w:eastAsia="zh-CN"/>
            </w:rPr>
            <w:t>投标人</w:t>
          </w:r>
          <w:r>
            <w:rPr>
              <w:rFonts w:hint="eastAsia" w:ascii="黑体" w:hAnsi="黑体" w:eastAsia="黑体" w:cs="黑体"/>
              <w:bCs w:val="0"/>
              <w:spacing w:val="0"/>
              <w:position w:val="0"/>
              <w:sz w:val="24"/>
              <w:szCs w:val="24"/>
              <w:highlight w:val="none"/>
            </w:rPr>
            <w:t>须知</w:t>
          </w:r>
          <w:r>
            <w:rPr>
              <w:sz w:val="24"/>
              <w:szCs w:val="24"/>
            </w:rPr>
            <w:tab/>
          </w:r>
          <w:r>
            <w:rPr>
              <w:sz w:val="24"/>
              <w:szCs w:val="24"/>
            </w:rPr>
            <w:fldChar w:fldCharType="begin"/>
          </w:r>
          <w:r>
            <w:rPr>
              <w:sz w:val="24"/>
              <w:szCs w:val="24"/>
            </w:rPr>
            <w:instrText xml:space="preserve"> PAGEREF _Toc9515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D5E70D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_Toc13602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Cs/>
              <w:spacing w:val="0"/>
              <w:position w:val="0"/>
              <w:sz w:val="24"/>
              <w:szCs w:val="24"/>
              <w:highlight w:val="none"/>
            </w:rPr>
            <w:t>总则</w:t>
          </w:r>
          <w:r>
            <w:rPr>
              <w:sz w:val="24"/>
              <w:szCs w:val="24"/>
            </w:rPr>
            <w:tab/>
          </w:r>
          <w:r>
            <w:rPr>
              <w:sz w:val="24"/>
              <w:szCs w:val="24"/>
            </w:rPr>
            <w:fldChar w:fldCharType="begin"/>
          </w:r>
          <w:r>
            <w:rPr>
              <w:sz w:val="24"/>
              <w:szCs w:val="24"/>
            </w:rPr>
            <w:instrText xml:space="preserve"> PAGEREF _Toc13602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8F9E4B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_Toc13879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二、</w:t>
          </w:r>
          <w:r>
            <w:rPr>
              <w:rFonts w:hint="eastAsia" w:asciiTheme="minorEastAsia" w:hAnsiTheme="minorEastAsia" w:eastAsiaTheme="minorEastAsia" w:cstheme="minorEastAsia"/>
              <w:bCs/>
              <w:spacing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_Toc13879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471596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_Toc30783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三、</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的编制</w:t>
          </w:r>
          <w:r>
            <w:rPr>
              <w:sz w:val="24"/>
              <w:szCs w:val="24"/>
            </w:rPr>
            <w:tab/>
          </w:r>
          <w:r>
            <w:rPr>
              <w:sz w:val="24"/>
              <w:szCs w:val="24"/>
            </w:rPr>
            <w:fldChar w:fldCharType="begin"/>
          </w:r>
          <w:r>
            <w:rPr>
              <w:sz w:val="24"/>
              <w:szCs w:val="24"/>
            </w:rPr>
            <w:instrText xml:space="preserve"> PAGEREF _Toc30783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69F1C6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_Toc6594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四、</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上传</w:t>
          </w:r>
          <w:r>
            <w:rPr>
              <w:sz w:val="24"/>
              <w:szCs w:val="24"/>
            </w:rPr>
            <w:tab/>
          </w:r>
          <w:r>
            <w:rPr>
              <w:sz w:val="24"/>
              <w:szCs w:val="24"/>
            </w:rPr>
            <w:fldChar w:fldCharType="begin"/>
          </w:r>
          <w:r>
            <w:rPr>
              <w:sz w:val="24"/>
              <w:szCs w:val="24"/>
            </w:rPr>
            <w:instrText xml:space="preserve"> PAGEREF _Toc6594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817494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_Toc6169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五、</w:t>
          </w:r>
          <w:r>
            <w:rPr>
              <w:rFonts w:hint="eastAsia" w:asciiTheme="minorEastAsia" w:hAnsiTheme="minorEastAsia" w:eastAsiaTheme="minorEastAsia" w:cstheme="minorEastAsia"/>
              <w:bCs/>
              <w:spacing w:val="0"/>
              <w:position w:val="0"/>
              <w:sz w:val="24"/>
              <w:szCs w:val="24"/>
              <w:highlight w:val="none"/>
              <w:lang w:val="en-US" w:eastAsia="zh-CN"/>
            </w:rPr>
            <w:t>开标及评标</w:t>
          </w:r>
          <w:r>
            <w:rPr>
              <w:sz w:val="24"/>
              <w:szCs w:val="24"/>
            </w:rPr>
            <w:tab/>
          </w:r>
          <w:r>
            <w:rPr>
              <w:sz w:val="24"/>
              <w:szCs w:val="24"/>
            </w:rPr>
            <w:fldChar w:fldCharType="begin"/>
          </w:r>
          <w:r>
            <w:rPr>
              <w:sz w:val="24"/>
              <w:szCs w:val="24"/>
            </w:rPr>
            <w:instrText xml:space="preserve"> PAGEREF _Toc6169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231773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_Toc26467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六、</w:t>
          </w:r>
          <w:r>
            <w:rPr>
              <w:rFonts w:hint="eastAsia" w:asciiTheme="minorEastAsia" w:hAnsiTheme="minorEastAsia" w:eastAsiaTheme="minorEastAsia" w:cstheme="minorEastAsia"/>
              <w:bCs/>
              <w:spacing w:val="0"/>
              <w:position w:val="0"/>
              <w:sz w:val="24"/>
              <w:szCs w:val="24"/>
              <w:highlight w:val="none"/>
              <w:lang w:val="en-US" w:eastAsia="zh-CN"/>
            </w:rPr>
            <w:t>定标</w:t>
          </w:r>
          <w:r>
            <w:rPr>
              <w:rFonts w:hint="eastAsia" w:asciiTheme="minorEastAsia" w:hAnsiTheme="minorEastAsia" w:eastAsiaTheme="minorEastAsia" w:cstheme="minorEastAsia"/>
              <w:bCs/>
              <w:spacing w:val="0"/>
              <w:position w:val="0"/>
              <w:sz w:val="24"/>
              <w:szCs w:val="24"/>
              <w:highlight w:val="none"/>
            </w:rPr>
            <w:t>及签订合同</w:t>
          </w:r>
          <w:r>
            <w:rPr>
              <w:sz w:val="24"/>
              <w:szCs w:val="24"/>
            </w:rPr>
            <w:tab/>
          </w:r>
          <w:r>
            <w:rPr>
              <w:sz w:val="24"/>
              <w:szCs w:val="24"/>
            </w:rPr>
            <w:fldChar w:fldCharType="begin"/>
          </w:r>
          <w:r>
            <w:rPr>
              <w:sz w:val="24"/>
              <w:szCs w:val="24"/>
            </w:rPr>
            <w:instrText xml:space="preserve"> PAGEREF _Toc26467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0ACCF7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_Toc453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七、质疑处理</w:t>
          </w:r>
          <w:r>
            <w:rPr>
              <w:sz w:val="24"/>
              <w:szCs w:val="24"/>
            </w:rPr>
            <w:tab/>
          </w:r>
          <w:r>
            <w:rPr>
              <w:sz w:val="24"/>
              <w:szCs w:val="24"/>
            </w:rPr>
            <w:fldChar w:fldCharType="begin"/>
          </w:r>
          <w:r>
            <w:rPr>
              <w:sz w:val="24"/>
              <w:szCs w:val="24"/>
            </w:rPr>
            <w:instrText xml:space="preserve"> PAGEREF _Toc453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603CF5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_Toc9295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八、政府采购政策功能落实</w:t>
          </w:r>
          <w:r>
            <w:rPr>
              <w:sz w:val="24"/>
              <w:szCs w:val="24"/>
            </w:rPr>
            <w:tab/>
          </w:r>
          <w:r>
            <w:rPr>
              <w:sz w:val="24"/>
              <w:szCs w:val="24"/>
            </w:rPr>
            <w:fldChar w:fldCharType="begin"/>
          </w:r>
          <w:r>
            <w:rPr>
              <w:sz w:val="24"/>
              <w:szCs w:val="24"/>
            </w:rPr>
            <w:instrText xml:space="preserve"> PAGEREF _Toc9295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E9A99E0">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_Toc2127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第三章 评标标准</w:t>
          </w:r>
          <w:r>
            <w:rPr>
              <w:sz w:val="24"/>
              <w:szCs w:val="24"/>
            </w:rPr>
            <w:tab/>
          </w:r>
          <w:r>
            <w:rPr>
              <w:sz w:val="24"/>
              <w:szCs w:val="24"/>
            </w:rPr>
            <w:fldChar w:fldCharType="begin"/>
          </w:r>
          <w:r>
            <w:rPr>
              <w:sz w:val="24"/>
              <w:szCs w:val="24"/>
            </w:rPr>
            <w:instrText xml:space="preserve"> PAGEREF _Toc2127 \h </w:instrText>
          </w:r>
          <w:r>
            <w:rPr>
              <w:sz w:val="24"/>
              <w:szCs w:val="24"/>
            </w:rPr>
            <w:fldChar w:fldCharType="separate"/>
          </w:r>
          <w:r>
            <w:rPr>
              <w:sz w:val="24"/>
              <w:szCs w:val="24"/>
            </w:rPr>
            <w:t>20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DDE306F">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_Toc22373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第四章 </w:t>
          </w:r>
          <w:r>
            <w:rPr>
              <w:rFonts w:hint="eastAsia" w:ascii="黑体" w:hAnsi="黑体" w:eastAsia="黑体" w:cs="黑体"/>
              <w:bCs w:val="0"/>
              <w:spacing w:val="0"/>
              <w:position w:val="0"/>
              <w:sz w:val="24"/>
              <w:szCs w:val="24"/>
              <w:highlight w:val="none"/>
              <w:lang w:val="en-US" w:eastAsia="zh-CN"/>
            </w:rPr>
            <w:t>合同格式及条款</w:t>
          </w:r>
          <w:r>
            <w:rPr>
              <w:sz w:val="24"/>
              <w:szCs w:val="24"/>
            </w:rPr>
            <w:tab/>
          </w:r>
          <w:r>
            <w:rPr>
              <w:sz w:val="24"/>
              <w:szCs w:val="24"/>
            </w:rPr>
            <w:fldChar w:fldCharType="begin"/>
          </w:r>
          <w:r>
            <w:rPr>
              <w:sz w:val="24"/>
              <w:szCs w:val="24"/>
            </w:rPr>
            <w:instrText xml:space="preserve"> PAGEREF _Toc22373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DDD3D8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_Toc7959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一、合同</w:t>
          </w:r>
          <w:r>
            <w:rPr>
              <w:sz w:val="24"/>
              <w:szCs w:val="24"/>
            </w:rPr>
            <w:tab/>
          </w:r>
          <w:r>
            <w:rPr>
              <w:sz w:val="24"/>
              <w:szCs w:val="24"/>
            </w:rPr>
            <w:fldChar w:fldCharType="begin"/>
          </w:r>
          <w:r>
            <w:rPr>
              <w:sz w:val="24"/>
              <w:szCs w:val="24"/>
            </w:rPr>
            <w:instrText xml:space="preserve"> PAGEREF _Toc7959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5DA4746">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_Toc30354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第五章 项目采购需求</w:t>
          </w:r>
          <w:r>
            <w:rPr>
              <w:sz w:val="24"/>
              <w:szCs w:val="24"/>
            </w:rPr>
            <w:tab/>
          </w:r>
          <w:r>
            <w:rPr>
              <w:sz w:val="24"/>
              <w:szCs w:val="24"/>
            </w:rPr>
            <w:fldChar w:fldCharType="begin"/>
          </w:r>
          <w:r>
            <w:rPr>
              <w:sz w:val="24"/>
              <w:szCs w:val="24"/>
            </w:rPr>
            <w:instrText xml:space="preserve"> PAGEREF _Toc30354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B854B36">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_Toc15619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第六章 投标文件格式</w:t>
          </w:r>
          <w:r>
            <w:rPr>
              <w:sz w:val="24"/>
              <w:szCs w:val="24"/>
            </w:rPr>
            <w:tab/>
          </w:r>
          <w:r>
            <w:rPr>
              <w:sz w:val="24"/>
              <w:szCs w:val="24"/>
            </w:rPr>
            <w:fldChar w:fldCharType="begin"/>
          </w:r>
          <w:r>
            <w:rPr>
              <w:sz w:val="24"/>
              <w:szCs w:val="24"/>
            </w:rPr>
            <w:instrText xml:space="preserve"> PAGEREF _Toc15619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2B8C6E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_Toc18801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一、投标函</w:t>
          </w:r>
          <w:r>
            <w:rPr>
              <w:sz w:val="24"/>
              <w:szCs w:val="24"/>
            </w:rPr>
            <w:tab/>
          </w:r>
          <w:r>
            <w:rPr>
              <w:sz w:val="24"/>
              <w:szCs w:val="24"/>
            </w:rPr>
            <w:fldChar w:fldCharType="begin"/>
          </w:r>
          <w:r>
            <w:rPr>
              <w:sz w:val="24"/>
              <w:szCs w:val="24"/>
            </w:rPr>
            <w:instrText xml:space="preserve"> PAGEREF _Toc18801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44F31E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_Toc15789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二、开标一览表</w:t>
          </w:r>
          <w:r>
            <w:rPr>
              <w:sz w:val="24"/>
              <w:szCs w:val="24"/>
            </w:rPr>
            <w:tab/>
          </w:r>
          <w:r>
            <w:rPr>
              <w:sz w:val="24"/>
              <w:szCs w:val="24"/>
            </w:rPr>
            <w:fldChar w:fldCharType="begin"/>
          </w:r>
          <w:r>
            <w:rPr>
              <w:sz w:val="24"/>
              <w:szCs w:val="24"/>
            </w:rPr>
            <w:instrText xml:space="preserve"> PAGEREF _Toc15789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77F6EC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_Toc3348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lang w:val="en-US" w:eastAsia="zh-CN"/>
            </w:rPr>
            <w:t xml:space="preserve">三、 </w:t>
          </w:r>
          <w:r>
            <w:rPr>
              <w:rFonts w:hint="eastAsia" w:asciiTheme="minorEastAsia" w:hAnsiTheme="minorEastAsia" w:eastAsiaTheme="minorEastAsia" w:cstheme="minorEastAsia"/>
              <w:bCs/>
              <w:spacing w:val="0"/>
              <w:position w:val="0"/>
              <w:sz w:val="24"/>
              <w:szCs w:val="24"/>
              <w:highlight w:val="none"/>
              <w:lang w:val="en-US" w:eastAsia="zh-CN"/>
            </w:rPr>
            <w:t>报价明细表</w:t>
          </w:r>
          <w:r>
            <w:rPr>
              <w:sz w:val="24"/>
              <w:szCs w:val="24"/>
            </w:rPr>
            <w:tab/>
          </w:r>
          <w:r>
            <w:rPr>
              <w:sz w:val="24"/>
              <w:szCs w:val="24"/>
            </w:rPr>
            <w:fldChar w:fldCharType="begin"/>
          </w:r>
          <w:r>
            <w:rPr>
              <w:sz w:val="24"/>
              <w:szCs w:val="24"/>
            </w:rPr>
            <w:instrText xml:space="preserve"> PAGEREF _Toc3348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02BE6D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_Toc28793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四、技术要求响应偏离表</w:t>
          </w:r>
          <w:r>
            <w:rPr>
              <w:sz w:val="24"/>
              <w:szCs w:val="24"/>
            </w:rPr>
            <w:tab/>
          </w:r>
          <w:r>
            <w:rPr>
              <w:sz w:val="24"/>
              <w:szCs w:val="24"/>
            </w:rPr>
            <w:fldChar w:fldCharType="begin"/>
          </w:r>
          <w:r>
            <w:rPr>
              <w:sz w:val="24"/>
              <w:szCs w:val="24"/>
            </w:rPr>
            <w:instrText xml:space="preserve"> PAGEREF _Toc28793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50E416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_Toc4014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五、服务承诺</w:t>
          </w:r>
          <w:r>
            <w:rPr>
              <w:sz w:val="24"/>
              <w:szCs w:val="24"/>
            </w:rPr>
            <w:tab/>
          </w:r>
          <w:r>
            <w:rPr>
              <w:sz w:val="24"/>
              <w:szCs w:val="24"/>
            </w:rPr>
            <w:fldChar w:fldCharType="begin"/>
          </w:r>
          <w:r>
            <w:rPr>
              <w:sz w:val="24"/>
              <w:szCs w:val="24"/>
            </w:rPr>
            <w:instrText xml:space="preserve"> PAGEREF _Toc4014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72FC3F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_Toc23382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六、资质审查时投标人必须提交的资格证明文件</w:t>
          </w:r>
          <w:r>
            <w:rPr>
              <w:sz w:val="24"/>
              <w:szCs w:val="24"/>
            </w:rPr>
            <w:tab/>
          </w:r>
          <w:r>
            <w:rPr>
              <w:sz w:val="24"/>
              <w:szCs w:val="24"/>
            </w:rPr>
            <w:fldChar w:fldCharType="begin"/>
          </w:r>
          <w:r>
            <w:rPr>
              <w:sz w:val="24"/>
              <w:szCs w:val="24"/>
            </w:rPr>
            <w:instrText xml:space="preserve"> PAGEREF _Toc23382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9C759F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_Toc11318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_Toc11318 \h </w:instrText>
          </w:r>
          <w:r>
            <w:rPr>
              <w:sz w:val="24"/>
              <w:szCs w:val="24"/>
            </w:rPr>
            <w:fldChar w:fldCharType="separate"/>
          </w:r>
          <w:r>
            <w:rPr>
              <w:sz w:val="24"/>
              <w:szCs w:val="24"/>
            </w:rPr>
            <w:t>46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84BBA7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_Toc20223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八、综合评分时投标人需提供的证明文件</w:t>
          </w:r>
          <w:r>
            <w:rPr>
              <w:sz w:val="24"/>
              <w:szCs w:val="24"/>
            </w:rPr>
            <w:tab/>
          </w:r>
          <w:r>
            <w:rPr>
              <w:sz w:val="24"/>
              <w:szCs w:val="24"/>
            </w:rPr>
            <w:fldChar w:fldCharType="begin"/>
          </w:r>
          <w:r>
            <w:rPr>
              <w:sz w:val="24"/>
              <w:szCs w:val="24"/>
            </w:rPr>
            <w:instrText xml:space="preserve"> PAGEREF _Toc20223 \h </w:instrText>
          </w:r>
          <w:r>
            <w:rPr>
              <w:sz w:val="24"/>
              <w:szCs w:val="24"/>
            </w:rPr>
            <w:fldChar w:fldCharType="separate"/>
          </w:r>
          <w:r>
            <w:rPr>
              <w:sz w:val="24"/>
              <w:szCs w:val="24"/>
            </w:rPr>
            <w:t>46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894ED9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_Toc21400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九、投标人认为有必要提供并说明的其它资料</w:t>
          </w:r>
          <w:r>
            <w:rPr>
              <w:sz w:val="24"/>
              <w:szCs w:val="24"/>
            </w:rPr>
            <w:tab/>
          </w:r>
          <w:r>
            <w:rPr>
              <w:sz w:val="24"/>
              <w:szCs w:val="24"/>
            </w:rPr>
            <w:fldChar w:fldCharType="begin"/>
          </w:r>
          <w:r>
            <w:rPr>
              <w:sz w:val="24"/>
              <w:szCs w:val="24"/>
            </w:rPr>
            <w:instrText xml:space="preserve"> PAGEREF _Toc21400 \h </w:instrText>
          </w:r>
          <w:r>
            <w:rPr>
              <w:sz w:val="24"/>
              <w:szCs w:val="24"/>
            </w:rPr>
            <w:fldChar w:fldCharType="separate"/>
          </w:r>
          <w:r>
            <w:rPr>
              <w:sz w:val="24"/>
              <w:szCs w:val="24"/>
            </w:rPr>
            <w:t>47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AF4CE0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_Toc14177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十、示范格式</w:t>
          </w:r>
          <w:r>
            <w:rPr>
              <w:sz w:val="24"/>
              <w:szCs w:val="24"/>
            </w:rPr>
            <w:tab/>
          </w:r>
          <w:r>
            <w:rPr>
              <w:sz w:val="24"/>
              <w:szCs w:val="24"/>
            </w:rPr>
            <w:fldChar w:fldCharType="begin"/>
          </w:r>
          <w:r>
            <w:rPr>
              <w:sz w:val="24"/>
              <w:szCs w:val="24"/>
            </w:rPr>
            <w:instrText xml:space="preserve"> PAGEREF _Toc14177 \h </w:instrText>
          </w:r>
          <w:r>
            <w:rPr>
              <w:sz w:val="24"/>
              <w:szCs w:val="24"/>
            </w:rPr>
            <w:fldChar w:fldCharType="separate"/>
          </w:r>
          <w:r>
            <w:rPr>
              <w:sz w:val="24"/>
              <w:szCs w:val="24"/>
            </w:rPr>
            <w:t>48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6C306EC">
          <w:pPr>
            <w:keepNext w:val="0"/>
            <w:keepLines w:val="0"/>
            <w:pageBreakBefore w:val="0"/>
            <w:widowControl/>
            <w:shd w:val="clear"/>
            <w:kinsoku w:val="0"/>
            <w:wordWrap/>
            <w:overflowPunct/>
            <w:topLinePunct w:val="0"/>
            <w:autoSpaceDE w:val="0"/>
            <w:autoSpaceDN w:val="0"/>
            <w:bidi w:val="0"/>
            <w:adjustRightInd w:val="0"/>
            <w:snapToGrid w:val="0"/>
            <w:spacing w:line="380" w:lineRule="exact"/>
            <w:jc w:val="both"/>
            <w:textAlignment w:val="baseline"/>
            <w:rPr>
              <w:rFonts w:hint="eastAsia" w:asciiTheme="minorEastAsia" w:hAnsiTheme="minorEastAsia" w:eastAsiaTheme="minorEastAsia" w:cstheme="minorEastAsia"/>
              <w:b/>
              <w:snapToGrid w:val="0"/>
              <w:color w:val="000000"/>
              <w:spacing w:val="0"/>
              <w:kern w:val="0"/>
              <w:position w:val="0"/>
              <w:sz w:val="21"/>
              <w:szCs w:val="28"/>
              <w:highlight w:val="none"/>
              <w:lang w:val="en-US" w:eastAsia="en-US" w:bidi="ar-SA"/>
            </w:rPr>
          </w:pPr>
          <w:r>
            <w:rPr>
              <w:rFonts w:hint="eastAsia" w:asciiTheme="minorEastAsia" w:hAnsiTheme="minorEastAsia" w:eastAsiaTheme="minorEastAsia" w:cstheme="minorEastAsia"/>
              <w:snapToGrid w:val="0"/>
              <w:color w:val="000000"/>
              <w:spacing w:val="0"/>
              <w:kern w:val="0"/>
              <w:position w:val="0"/>
              <w:szCs w:val="24"/>
              <w:highlight w:val="none"/>
              <w:lang w:val="en-US" w:eastAsia="en-US" w:bidi="ar-SA"/>
            </w:rPr>
            <w:fldChar w:fldCharType="end"/>
          </w:r>
        </w:p>
      </w:sdtContent>
    </w:sdt>
    <w:p w14:paraId="1BD031C0">
      <w:pPr>
        <w:keepNext w:val="0"/>
        <w:keepLines w:val="0"/>
        <w:pageBreakBefore w:val="0"/>
        <w:widowControl/>
        <w:shd w:val="clea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snapToGrid w:val="0"/>
          <w:color w:val="000000"/>
          <w:spacing w:val="0"/>
          <w:kern w:val="0"/>
          <w:position w:val="0"/>
          <w:sz w:val="21"/>
          <w:szCs w:val="28"/>
          <w:highlight w:val="none"/>
          <w:lang w:val="en-US" w:eastAsia="en-US" w:bidi="ar-SA"/>
        </w:rPr>
        <w:sectPr>
          <w:headerReference r:id="rId9" w:type="default"/>
          <w:footerReference r:id="rId10" w:type="default"/>
          <w:pgSz w:w="11906" w:h="16839"/>
          <w:pgMar w:top="1440" w:right="1080" w:bottom="1440" w:left="1080" w:header="866" w:footer="994" w:gutter="0"/>
          <w:pgNumType w:fmt="upperRoman"/>
          <w:cols w:space="720" w:num="1"/>
        </w:sectPr>
      </w:pPr>
    </w:p>
    <w:p w14:paraId="3AD7316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spacing w:val="0"/>
          <w:position w:val="0"/>
          <w:sz w:val="35"/>
          <w:szCs w:val="35"/>
          <w:highlight w:val="none"/>
        </w:rPr>
      </w:pPr>
      <w:bookmarkStart w:id="0" w:name="bookmark7"/>
      <w:bookmarkEnd w:id="0"/>
      <w:bookmarkStart w:id="1" w:name="bookmark1"/>
      <w:bookmarkEnd w:id="1"/>
      <w:bookmarkStart w:id="2" w:name="_Toc6351"/>
      <w:r>
        <w:rPr>
          <w:rFonts w:hint="eastAsia" w:ascii="黑体" w:hAnsi="黑体" w:eastAsia="黑体" w:cs="黑体"/>
          <w:b/>
          <w:bCs/>
          <w:spacing w:val="0"/>
          <w:position w:val="0"/>
          <w:sz w:val="35"/>
          <w:szCs w:val="35"/>
          <w:highlight w:val="none"/>
        </w:rPr>
        <w:t>第一章</w:t>
      </w:r>
      <w:r>
        <w:rPr>
          <w:rFonts w:hint="eastAsia" w:ascii="黑体" w:hAnsi="黑体" w:eastAsia="黑体" w:cs="黑体"/>
          <w:spacing w:val="0"/>
          <w:position w:val="0"/>
          <w:sz w:val="35"/>
          <w:szCs w:val="35"/>
          <w:highlight w:val="none"/>
        </w:rPr>
        <w:t xml:space="preserve"> </w:t>
      </w:r>
      <w:r>
        <w:rPr>
          <w:rFonts w:hint="eastAsia" w:ascii="黑体" w:hAnsi="黑体" w:eastAsia="黑体" w:cs="黑体"/>
          <w:b/>
          <w:bCs/>
          <w:spacing w:val="0"/>
          <w:position w:val="0"/>
          <w:sz w:val="35"/>
          <w:szCs w:val="35"/>
          <w:highlight w:val="none"/>
          <w:lang w:val="en-US" w:eastAsia="zh-CN"/>
        </w:rPr>
        <w:t>投标</w:t>
      </w:r>
      <w:r>
        <w:rPr>
          <w:rFonts w:hint="eastAsia" w:ascii="黑体" w:hAnsi="黑体" w:eastAsia="黑体" w:cs="黑体"/>
          <w:b/>
          <w:bCs/>
          <w:spacing w:val="0"/>
          <w:position w:val="0"/>
          <w:sz w:val="35"/>
          <w:szCs w:val="35"/>
          <w:highlight w:val="none"/>
        </w:rPr>
        <w:t>邀请</w:t>
      </w:r>
      <w:bookmarkEnd w:id="2"/>
    </w:p>
    <w:p w14:paraId="161CFC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受</w:t>
      </w:r>
      <w:r>
        <w:rPr>
          <w:rFonts w:hint="eastAsia" w:asciiTheme="minorEastAsia" w:hAnsiTheme="minorEastAsia" w:eastAsiaTheme="minorEastAsia" w:cstheme="minorEastAsia"/>
          <w:b/>
          <w:bCs/>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的委托，</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就</w:t>
      </w:r>
      <w:r>
        <w:rPr>
          <w:rFonts w:hint="eastAsia" w:asciiTheme="minorEastAsia" w:hAnsiTheme="minorEastAsia" w:eastAsiaTheme="minorEastAsia" w:cstheme="minorEastAsia"/>
          <w:b/>
          <w:bCs/>
          <w:spacing w:val="0"/>
          <w:position w:val="0"/>
          <w:sz w:val="24"/>
          <w:szCs w:val="24"/>
          <w:highlight w:val="none"/>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进行“全流程不见面交易”采购，现邀请符合条件的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参加竞争。</w:t>
      </w:r>
    </w:p>
    <w:tbl>
      <w:tblPr>
        <w:tblStyle w:val="17"/>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vAlign w:val="top"/>
          </w:tcPr>
          <w:p w14:paraId="5D17698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项目概况：</w:t>
            </w:r>
          </w:p>
          <w:p w14:paraId="05F5A07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u w:val="single" w:color="auto"/>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的潜在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在淮安市公共资源交易网</w:t>
            </w:r>
            <w:r>
              <w:rPr>
                <w:rFonts w:hint="eastAsia" w:asciiTheme="minorEastAsia" w:hAnsiTheme="minorEastAsia" w:eastAsiaTheme="minorEastAsia" w:cstheme="minorEastAsia"/>
                <w:b/>
                <w:bCs/>
                <w:spacing w:val="0"/>
                <w:position w:val="0"/>
                <w:sz w:val="24"/>
                <w:szCs w:val="24"/>
                <w:highlight w:val="none"/>
              </w:rPr>
              <w:t>（http://ggzy.huaian.gov.cn/）</w:t>
            </w:r>
            <w:r>
              <w:rPr>
                <w:rFonts w:hint="eastAsia" w:asciiTheme="minorEastAsia" w:hAnsiTheme="minorEastAsia" w:eastAsiaTheme="minorEastAsia" w:cstheme="minorEastAsia"/>
                <w:spacing w:val="0"/>
                <w:position w:val="0"/>
                <w:sz w:val="24"/>
                <w:szCs w:val="24"/>
                <w:highlight w:val="none"/>
              </w:rPr>
              <w:t>自行下载</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，并于</w:t>
            </w:r>
            <w:r>
              <w:rPr>
                <w:rFonts w:hint="eastAsia" w:asciiTheme="minorEastAsia" w:hAnsiTheme="minorEastAsia" w:eastAsiaTheme="minorEastAsia" w:cstheme="minorEastAsia"/>
                <w:b/>
                <w:bCs/>
                <w:spacing w:val="0"/>
                <w:position w:val="0"/>
                <w:sz w:val="24"/>
                <w:szCs w:val="24"/>
                <w:highlight w:val="none"/>
                <w:u w:val="single" w:color="auto"/>
              </w:rPr>
              <w:t>20</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rPr>
              <w:t>年</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06</w:t>
            </w:r>
            <w:r>
              <w:rPr>
                <w:rFonts w:hint="eastAsia" w:asciiTheme="minorEastAsia" w:hAnsiTheme="minorEastAsia" w:eastAsiaTheme="minorEastAsia" w:cstheme="minorEastAsia"/>
                <w:b/>
                <w:bCs/>
                <w:spacing w:val="0"/>
                <w:position w:val="0"/>
                <w:sz w:val="24"/>
                <w:szCs w:val="24"/>
                <w:highlight w:val="none"/>
                <w:u w:val="single" w:color="auto"/>
                <w:shd w:val="clear"/>
              </w:rPr>
              <w:t>月</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shd w:val="clear"/>
              </w:rPr>
              <w:t>日</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09</w:t>
            </w:r>
            <w:r>
              <w:rPr>
                <w:rFonts w:hint="eastAsia" w:asciiTheme="minorEastAsia" w:hAnsiTheme="minorEastAsia" w:eastAsiaTheme="minorEastAsia" w:cstheme="minorEastAsia"/>
                <w:b/>
                <w:bCs/>
                <w:spacing w:val="0"/>
                <w:position w:val="0"/>
                <w:sz w:val="24"/>
                <w:szCs w:val="24"/>
                <w:highlight w:val="none"/>
                <w:u w:val="single" w:color="auto"/>
              </w:rPr>
              <w:t>时</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3</w:t>
            </w:r>
            <w:r>
              <w:rPr>
                <w:rFonts w:hint="eastAsia" w:asciiTheme="minorEastAsia" w:hAnsiTheme="minorEastAsia" w:eastAsiaTheme="minorEastAsia" w:cstheme="minorEastAsia"/>
                <w:b/>
                <w:bCs/>
                <w:spacing w:val="0"/>
                <w:position w:val="0"/>
                <w:sz w:val="24"/>
                <w:szCs w:val="24"/>
                <w:highlight w:val="none"/>
                <w:u w:val="single" w:color="auto"/>
              </w:rPr>
              <w:t>0分（北京时间）</w:t>
            </w:r>
            <w:r>
              <w:rPr>
                <w:rFonts w:hint="eastAsia" w:asciiTheme="minorEastAsia" w:hAnsiTheme="minorEastAsia" w:eastAsiaTheme="minorEastAsia" w:cstheme="minorEastAsia"/>
                <w:spacing w:val="0"/>
                <w:position w:val="0"/>
                <w:sz w:val="24"/>
                <w:szCs w:val="24"/>
                <w:highlight w:val="none"/>
              </w:rPr>
              <w:t>前提交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tc>
      </w:tr>
    </w:tbl>
    <w:p w14:paraId="3CA5F38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3" w:name="_Toc5671"/>
      <w:r>
        <w:rPr>
          <w:rFonts w:hint="eastAsia" w:asciiTheme="minorEastAsia" w:hAnsiTheme="minorEastAsia" w:eastAsiaTheme="minorEastAsia" w:cstheme="minorEastAsia"/>
          <w:b/>
          <w:bCs/>
          <w:spacing w:val="0"/>
          <w:position w:val="0"/>
          <w:sz w:val="24"/>
          <w:szCs w:val="24"/>
          <w:highlight w:val="none"/>
        </w:rPr>
        <w:t>一、项目基本情况</w:t>
      </w:r>
      <w:bookmarkEnd w:id="3"/>
    </w:p>
    <w:p w14:paraId="628360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shd w:val="clear" w:fill="FFFF00"/>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项目编号：</w:t>
      </w:r>
      <w:r>
        <w:rPr>
          <w:rFonts w:hint="eastAsia" w:asciiTheme="minorEastAsia" w:hAnsiTheme="minorEastAsia" w:eastAsiaTheme="minorEastAsia" w:cstheme="minorEastAsia"/>
          <w:spacing w:val="0"/>
          <w:position w:val="0"/>
          <w:sz w:val="24"/>
          <w:szCs w:val="24"/>
          <w:highlight w:val="none"/>
          <w:shd w:val="clear"/>
          <w:lang w:eastAsia="zh-CN"/>
        </w:rPr>
        <w:t>HAYX-2026050050</w:t>
      </w:r>
    </w:p>
    <w:p w14:paraId="36E5F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项目名称：</w:t>
      </w:r>
      <w:r>
        <w:rPr>
          <w:rFonts w:hint="eastAsia" w:asciiTheme="minorEastAsia" w:hAnsiTheme="minorEastAsia" w:eastAsiaTheme="minorEastAsia" w:cstheme="minorEastAsia"/>
          <w:spacing w:val="0"/>
          <w:position w:val="0"/>
          <w:sz w:val="24"/>
          <w:szCs w:val="24"/>
          <w:highlight w:val="none"/>
          <w:lang w:eastAsia="zh-CN"/>
        </w:rPr>
        <w:t>淮安市卫生健康委员会医疗设备集中采购项目</w:t>
      </w:r>
    </w:p>
    <w:p w14:paraId="53382D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预算金额：</w:t>
      </w:r>
      <w:r>
        <w:rPr>
          <w:rFonts w:hint="eastAsia" w:asciiTheme="minorEastAsia" w:hAnsiTheme="minorEastAsia" w:eastAsiaTheme="minorEastAsia" w:cstheme="minorEastAsia"/>
          <w:spacing w:val="0"/>
          <w:position w:val="0"/>
          <w:sz w:val="24"/>
          <w:szCs w:val="24"/>
          <w:highlight w:val="none"/>
          <w:u w:val="single" w:color="auto"/>
        </w:rPr>
        <w:t>人民币</w:t>
      </w:r>
      <w:r>
        <w:rPr>
          <w:rFonts w:hint="eastAsia" w:asciiTheme="minorEastAsia" w:hAnsiTheme="minorEastAsia" w:eastAsiaTheme="minorEastAsia" w:cstheme="minorEastAsia"/>
          <w:spacing w:val="0"/>
          <w:position w:val="0"/>
          <w:sz w:val="24"/>
          <w:szCs w:val="24"/>
          <w:highlight w:val="none"/>
          <w:u w:val="single" w:color="auto"/>
          <w:lang w:val="en-US" w:eastAsia="zh-CN"/>
        </w:rPr>
        <w:t>叁仟壹佰贰拾捌万元整</w:t>
      </w:r>
      <w:r>
        <w:rPr>
          <w:rFonts w:hint="eastAsia" w:asciiTheme="minorEastAsia" w:hAnsiTheme="minorEastAsia" w:eastAsiaTheme="minorEastAsia" w:cstheme="minorEastAsia"/>
          <w:spacing w:val="0"/>
          <w:position w:val="0"/>
          <w:sz w:val="24"/>
          <w:szCs w:val="24"/>
          <w:highlight w:val="none"/>
          <w:u w:val="single" w:color="auto"/>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31280000</w:t>
      </w:r>
      <w:r>
        <w:rPr>
          <w:rFonts w:hint="eastAsia" w:asciiTheme="minorEastAsia" w:hAnsiTheme="minorEastAsia" w:eastAsiaTheme="minorEastAsia" w:cstheme="minorEastAsia"/>
          <w:spacing w:val="0"/>
          <w:position w:val="0"/>
          <w:sz w:val="24"/>
          <w:szCs w:val="24"/>
          <w:highlight w:val="none"/>
          <w:u w:val="single" w:color="auto"/>
        </w:rPr>
        <w:t>.00）</w:t>
      </w:r>
    </w:p>
    <w:p w14:paraId="554639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u w:val="single" w:color="auto"/>
          <w:shd w:val="clear"/>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pacing w:val="0"/>
          <w:position w:val="0"/>
          <w:sz w:val="24"/>
          <w:szCs w:val="24"/>
          <w:highlight w:val="none"/>
          <w:u w:val="single" w:color="auto"/>
          <w:lang w:eastAsia="zh-CN"/>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其中 十一</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标段 人民币壹佰零伍万元整 </w:t>
      </w:r>
      <w:r>
        <w:rPr>
          <w:rFonts w:hint="eastAsia" w:asciiTheme="minorEastAsia" w:hAnsiTheme="minorEastAsia" w:eastAsiaTheme="minorEastAsia" w:cstheme="minorEastAsia"/>
          <w:spacing w:val="0"/>
          <w:position w:val="0"/>
          <w:sz w:val="24"/>
          <w:szCs w:val="24"/>
          <w:highlight w:val="none"/>
          <w:u w:val="single" w:color="auto"/>
          <w:shd w:val="clear"/>
        </w:rPr>
        <w:t>￥</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1050000</w:t>
      </w:r>
      <w:r>
        <w:rPr>
          <w:rFonts w:hint="eastAsia" w:asciiTheme="minorEastAsia" w:hAnsiTheme="minorEastAsia" w:eastAsiaTheme="minorEastAsia" w:cstheme="minorEastAsia"/>
          <w:spacing w:val="0"/>
          <w:position w:val="0"/>
          <w:sz w:val="24"/>
          <w:szCs w:val="24"/>
          <w:highlight w:val="none"/>
          <w:u w:val="single" w:color="auto"/>
          <w:shd w:val="clear"/>
        </w:rPr>
        <w:t>.00</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 ）</w:t>
      </w:r>
    </w:p>
    <w:tbl>
      <w:tblPr>
        <w:tblStyle w:val="1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u w:val="single" w:color="auto"/>
                <w:vertAlign w:val="baseline"/>
                <w:lang w:val="en-US"/>
              </w:rPr>
            </w:pPr>
            <w:r>
              <w:rPr>
                <w:rFonts w:hint="eastAsia" w:asciiTheme="minorEastAsia" w:hAnsiTheme="minorEastAsia" w:eastAsiaTheme="minorEastAsia" w:cstheme="minorEastAsia"/>
                <w:spacing w:val="0"/>
                <w:position w:val="0"/>
                <w:sz w:val="24"/>
                <w:szCs w:val="24"/>
                <w:highlight w:val="none"/>
                <w:lang w:val="en-US" w:eastAsia="zh-CN"/>
              </w:rPr>
              <w:t>淮安市卫生健康委员会医疗设备集中采购项目  彩超    十一标段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序号</w:t>
            </w:r>
          </w:p>
        </w:tc>
        <w:tc>
          <w:tcPr>
            <w:tcW w:w="3044" w:type="dxa"/>
            <w:vAlign w:val="center"/>
          </w:tcPr>
          <w:p w14:paraId="58F2D0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名 称</w:t>
            </w:r>
          </w:p>
        </w:tc>
        <w:tc>
          <w:tcPr>
            <w:tcW w:w="1201" w:type="dxa"/>
            <w:vAlign w:val="center"/>
          </w:tcPr>
          <w:p w14:paraId="6DC4FB3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数量</w:t>
            </w:r>
          </w:p>
        </w:tc>
        <w:tc>
          <w:tcPr>
            <w:tcW w:w="1485" w:type="dxa"/>
            <w:vAlign w:val="center"/>
          </w:tcPr>
          <w:p w14:paraId="388A281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w:t>
            </w:r>
          </w:p>
        </w:tc>
        <w:tc>
          <w:tcPr>
            <w:tcW w:w="3292" w:type="dxa"/>
            <w:vAlign w:val="center"/>
          </w:tcPr>
          <w:p w14:paraId="39676B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3044" w:type="dxa"/>
            <w:vAlign w:val="center"/>
          </w:tcPr>
          <w:p w14:paraId="1B79A440">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彩超</w:t>
            </w:r>
          </w:p>
        </w:tc>
        <w:tc>
          <w:tcPr>
            <w:tcW w:w="1201" w:type="dxa"/>
            <w:vAlign w:val="center"/>
          </w:tcPr>
          <w:p w14:paraId="47DCB970">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1</w:t>
            </w:r>
          </w:p>
        </w:tc>
        <w:tc>
          <w:tcPr>
            <w:tcW w:w="1485" w:type="dxa"/>
            <w:vAlign w:val="center"/>
          </w:tcPr>
          <w:p w14:paraId="75DFE8AC">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套</w:t>
            </w:r>
          </w:p>
        </w:tc>
        <w:tc>
          <w:tcPr>
            <w:tcW w:w="3292" w:type="dxa"/>
            <w:vAlign w:val="center"/>
          </w:tcPr>
          <w:p w14:paraId="5F4CA5ED">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宋体" w:hAnsi="宋体" w:cs="宋体"/>
                <w:snapToGrid w:val="0"/>
                <w:color w:val="000000"/>
                <w:spacing w:val="0"/>
                <w:kern w:val="0"/>
                <w:position w:val="0"/>
                <w:sz w:val="24"/>
                <w:szCs w:val="24"/>
                <w:highlight w:val="none"/>
                <w:shd w:val="clear"/>
                <w:lang w:val="en-US" w:eastAsia="zh-CN"/>
              </w:rPr>
              <w:t>105</w:t>
            </w:r>
            <w:r>
              <w:rPr>
                <w:rFonts w:hint="eastAsia" w:ascii="宋体" w:hAnsi="宋体" w:eastAsia="宋体" w:cs="宋体"/>
                <w:snapToGrid w:val="0"/>
                <w:color w:val="000000"/>
                <w:spacing w:val="0"/>
                <w:kern w:val="0"/>
                <w:position w:val="0"/>
                <w:sz w:val="24"/>
                <w:szCs w:val="24"/>
                <w:highlight w:val="none"/>
                <w:shd w:val="clear"/>
                <w:lang w:val="en-US" w:eastAsia="zh-CN"/>
              </w:rPr>
              <w:t>.00</w:t>
            </w:r>
          </w:p>
        </w:tc>
      </w:tr>
    </w:tbl>
    <w:p w14:paraId="08DCF7C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rPr>
          <w:rFonts w:hint="eastAsia" w:asciiTheme="minorEastAsia" w:hAnsiTheme="minorEastAsia" w:eastAsiaTheme="minorEastAsia" w:cstheme="minorEastAsia"/>
          <w:spacing w:val="0"/>
          <w:position w:val="0"/>
          <w:sz w:val="24"/>
          <w:szCs w:val="24"/>
          <w:highlight w:val="none"/>
          <w:u w:val="single" w:color="auto"/>
        </w:rPr>
      </w:pPr>
    </w:p>
    <w:p w14:paraId="48E2C8B6">
      <w:pPr>
        <w:keepNext w:val="0"/>
        <w:keepLines w:val="0"/>
        <w:pageBreakBefore w:val="0"/>
        <w:shd w:val="clear"/>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u w:val="single" w:color="auto"/>
        </w:rPr>
      </w:pPr>
      <w:r>
        <w:rPr>
          <w:rFonts w:hint="eastAsia" w:asciiTheme="minorEastAsia" w:hAnsiTheme="minorEastAsia" w:eastAsiaTheme="minorEastAsia" w:cstheme="minorEastAsia"/>
          <w:spacing w:val="0"/>
          <w:position w:val="0"/>
          <w:sz w:val="24"/>
          <w:szCs w:val="24"/>
          <w:highlight w:val="none"/>
          <w:u w:val="single" w:color="auto"/>
        </w:rPr>
        <w:t>注：投标人每个标段的</w:t>
      </w:r>
      <w:r>
        <w:rPr>
          <w:rFonts w:hint="eastAsia" w:asciiTheme="minorEastAsia" w:hAnsiTheme="minorEastAsia" w:eastAsiaTheme="minorEastAsia" w:cstheme="minorEastAsia"/>
          <w:spacing w:val="0"/>
          <w:position w:val="0"/>
          <w:sz w:val="24"/>
          <w:szCs w:val="24"/>
          <w:highlight w:val="none"/>
          <w:u w:val="single" w:color="auto"/>
          <w:lang w:val="en-US" w:eastAsia="zh-CN"/>
        </w:rPr>
        <w:t>单价报价和</w:t>
      </w:r>
      <w:r>
        <w:rPr>
          <w:rFonts w:hint="eastAsia" w:asciiTheme="minorEastAsia" w:hAnsiTheme="minorEastAsia" w:eastAsiaTheme="minorEastAsia" w:cstheme="minorEastAsia"/>
          <w:spacing w:val="0"/>
          <w:position w:val="0"/>
          <w:sz w:val="24"/>
          <w:szCs w:val="24"/>
          <w:highlight w:val="none"/>
          <w:u w:val="single" w:color="auto"/>
        </w:rPr>
        <w:t>总报价不得高于最高限价，否则作废标处理；</w:t>
      </w:r>
    </w:p>
    <w:p w14:paraId="5294A430">
      <w:pPr>
        <w:keepNext w:val="0"/>
        <w:keepLines w:val="0"/>
        <w:pageBreakBefore w:val="0"/>
        <w:widowControl/>
        <w:numPr>
          <w:ilvl w:val="0"/>
          <w:numId w:val="1"/>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eastAsia="en-US"/>
        </w:rPr>
      </w:pPr>
      <w:bookmarkStart w:id="4" w:name="bookmark8"/>
      <w:bookmarkEnd w:id="4"/>
      <w:bookmarkStart w:id="5" w:name="bookmark2"/>
      <w:bookmarkEnd w:id="5"/>
      <w:r>
        <w:rPr>
          <w:rFonts w:hint="eastAsia" w:ascii="宋体" w:hAnsi="宋体" w:eastAsia="宋体" w:cs="宋体"/>
          <w:snapToGrid w:val="0"/>
          <w:color w:val="000000"/>
          <w:spacing w:val="0"/>
          <w:kern w:val="0"/>
          <w:position w:val="0"/>
          <w:sz w:val="24"/>
          <w:szCs w:val="24"/>
          <w:highlight w:val="none"/>
          <w:lang w:val="en-US" w:eastAsia="zh-CN"/>
        </w:rPr>
        <w:t>项目简要说明：</w:t>
      </w:r>
      <w:r>
        <w:rPr>
          <w:rFonts w:hint="eastAsia" w:ascii="宋体" w:hAnsi="宋体" w:eastAsia="宋体" w:cs="宋体"/>
          <w:snapToGrid w:val="0"/>
          <w:color w:val="000000"/>
          <w:spacing w:val="0"/>
          <w:kern w:val="0"/>
          <w:position w:val="0"/>
          <w:sz w:val="24"/>
          <w:szCs w:val="24"/>
          <w:highlight w:val="none"/>
          <w:lang w:eastAsia="zh-CN"/>
        </w:rPr>
        <w:t>淮安市卫生健康委员会医疗设备集中采购项目，</w:t>
      </w:r>
      <w:r>
        <w:rPr>
          <w:rFonts w:hint="eastAsia" w:ascii="宋体" w:hAnsi="宋体" w:eastAsia="宋体" w:cs="宋体"/>
          <w:snapToGrid w:val="0"/>
          <w:color w:val="000000"/>
          <w:spacing w:val="0"/>
          <w:kern w:val="0"/>
          <w:position w:val="0"/>
          <w:sz w:val="24"/>
          <w:szCs w:val="24"/>
          <w:highlight w:val="none"/>
          <w:lang w:val="en-US" w:eastAsia="zh-CN"/>
        </w:rPr>
        <w:t>本次项目共分为十一个标段，</w:t>
      </w:r>
      <w:r>
        <w:rPr>
          <w:rFonts w:hint="eastAsia" w:ascii="宋体" w:hAnsi="宋体" w:eastAsia="宋体" w:cs="宋体"/>
          <w:snapToGrid w:val="0"/>
          <w:color w:val="000000"/>
          <w:spacing w:val="0"/>
          <w:kern w:val="0"/>
          <w:position w:val="0"/>
          <w:sz w:val="24"/>
          <w:szCs w:val="24"/>
          <w:highlight w:val="none"/>
          <w:lang w:eastAsia="en-US"/>
        </w:rPr>
        <w:t>具体详见</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第五章采购需求。</w:t>
      </w:r>
    </w:p>
    <w:tbl>
      <w:tblPr>
        <w:tblStyle w:val="13"/>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7256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4DF3410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0FFF828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7839DE4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01B8B80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0875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A7E2F3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7FEBEAE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444A206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8E7AF9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7E53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25533A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21A1007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4780C84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7F93FE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759A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D649B7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1B8A6A9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5E0D9F2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9FC732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034C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5F1FC3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368ED37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4AF7B05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F234E7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52C0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2974BB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484A244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6D2BFD4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33AD05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328F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F66627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6304D86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6D31752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C5114C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674F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5B7ACB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1B0C4E8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1066131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FBEFEE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65AC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794CCC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42DB9EB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221AA58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563E2B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1AE8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0BDE90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23DF4EA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69814F0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A1C502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485A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4A6930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23D0E60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37F78BA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44D8805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04D0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439015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3AF9EF7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56998AF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308AC01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3BBF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7BF1137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339D6E8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2E9C9C15">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p>
    <w:p w14:paraId="003D1D41">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r>
        <w:rPr>
          <w:rFonts w:hint="eastAsia" w:ascii="宋体" w:hAnsi="宋体" w:eastAsia="宋体" w:cs="宋体"/>
          <w:snapToGrid w:val="0"/>
          <w:color w:val="000000"/>
          <w:spacing w:val="0"/>
          <w:kern w:val="0"/>
          <w:position w:val="0"/>
          <w:sz w:val="24"/>
          <w:szCs w:val="24"/>
          <w:highlight w:val="none"/>
          <w:lang w:val="en-US" w:eastAsia="en-US"/>
        </w:rPr>
        <w:t>注：投标人可选择其中任何一标段或多个标段投标，也可兼投，每个标段只有一位成交投标人，同一个投标人可以兼中多个标段。</w:t>
      </w:r>
    </w:p>
    <w:p w14:paraId="3920F47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六</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供货期</w:t>
      </w:r>
      <w:r>
        <w:rPr>
          <w:rFonts w:hint="eastAsia" w:ascii="宋体" w:hAnsi="宋体" w:eastAsia="宋体" w:cs="宋体"/>
          <w:snapToGrid w:val="0"/>
          <w:color w:val="000000"/>
          <w:spacing w:val="0"/>
          <w:kern w:val="0"/>
          <w:position w:val="0"/>
          <w:sz w:val="24"/>
          <w:szCs w:val="24"/>
          <w:highlight w:val="none"/>
          <w:lang w:eastAsia="en-US"/>
        </w:rPr>
        <w:t>：合同签订之</w:t>
      </w:r>
      <w:r>
        <w:rPr>
          <w:rFonts w:hint="eastAsia" w:ascii="宋体" w:hAnsi="宋体" w:eastAsia="宋体" w:cs="宋体"/>
          <w:snapToGrid w:val="0"/>
          <w:color w:val="000000"/>
          <w:spacing w:val="0"/>
          <w:kern w:val="0"/>
          <w:position w:val="0"/>
          <w:sz w:val="24"/>
          <w:szCs w:val="24"/>
          <w:highlight w:val="none"/>
          <w:shd w:val="clear"/>
          <w:lang w:eastAsia="en-US"/>
        </w:rPr>
        <w:t>日起</w:t>
      </w:r>
      <w:r>
        <w:rPr>
          <w:rFonts w:hint="eastAsia" w:ascii="宋体" w:hAnsi="宋体" w:eastAsia="宋体" w:cs="宋体"/>
          <w:snapToGrid w:val="0"/>
          <w:color w:val="000000"/>
          <w:spacing w:val="0"/>
          <w:kern w:val="0"/>
          <w:position w:val="0"/>
          <w:sz w:val="24"/>
          <w:szCs w:val="24"/>
          <w:highlight w:val="none"/>
          <w:shd w:val="clear"/>
          <w:lang w:val="en-US" w:eastAsia="zh-CN"/>
        </w:rPr>
        <w:t>30天内</w:t>
      </w:r>
      <w:r>
        <w:rPr>
          <w:rFonts w:hint="eastAsia" w:ascii="宋体" w:hAnsi="宋体" w:eastAsia="宋体" w:cs="宋体"/>
          <w:snapToGrid w:val="0"/>
          <w:color w:val="000000"/>
          <w:spacing w:val="0"/>
          <w:kern w:val="0"/>
          <w:position w:val="0"/>
          <w:sz w:val="24"/>
          <w:szCs w:val="24"/>
          <w:highlight w:val="none"/>
          <w:lang w:eastAsia="en-US"/>
        </w:rPr>
        <w:t>完成供货并安装调试到位。</w:t>
      </w:r>
    </w:p>
    <w:p w14:paraId="5BA8676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七</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免费质保期</w:t>
      </w:r>
      <w:r>
        <w:rPr>
          <w:rFonts w:hint="eastAsia" w:ascii="宋体" w:hAnsi="宋体" w:eastAsia="宋体" w:cs="宋体"/>
          <w:snapToGrid w:val="0"/>
          <w:color w:val="000000"/>
          <w:spacing w:val="0"/>
          <w:kern w:val="0"/>
          <w:position w:val="0"/>
          <w:sz w:val="24"/>
          <w:szCs w:val="24"/>
          <w:highlight w:val="none"/>
          <w:lang w:eastAsia="en-US"/>
        </w:rPr>
        <w:t>：标内设备整机</w:t>
      </w:r>
      <w:r>
        <w:rPr>
          <w:rFonts w:hint="eastAsia" w:ascii="宋体" w:hAnsi="宋体" w:eastAsia="宋体" w:cs="宋体"/>
          <w:snapToGrid w:val="0"/>
          <w:color w:val="000000"/>
          <w:spacing w:val="0"/>
          <w:kern w:val="0"/>
          <w:position w:val="0"/>
          <w:sz w:val="24"/>
          <w:szCs w:val="24"/>
          <w:highlight w:val="none"/>
          <w:lang w:val="en-US" w:eastAsia="zh-CN"/>
        </w:rPr>
        <w:t>原厂</w:t>
      </w:r>
      <w:r>
        <w:rPr>
          <w:rFonts w:hint="eastAsia" w:ascii="宋体" w:hAnsi="宋体" w:eastAsia="宋体" w:cs="宋体"/>
          <w:snapToGrid w:val="0"/>
          <w:color w:val="000000"/>
          <w:spacing w:val="0"/>
          <w:kern w:val="0"/>
          <w:position w:val="0"/>
          <w:sz w:val="24"/>
          <w:szCs w:val="24"/>
          <w:highlight w:val="none"/>
          <w:lang w:eastAsia="en-US"/>
        </w:rPr>
        <w:t>质保三年起。</w:t>
      </w:r>
    </w:p>
    <w:p w14:paraId="2A796571">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八</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本项目不接受联合体</w:t>
      </w:r>
      <w:r>
        <w:rPr>
          <w:rFonts w:hint="eastAsia" w:ascii="宋体" w:hAnsi="宋体" w:eastAsia="宋体" w:cs="宋体"/>
          <w:snapToGrid w:val="0"/>
          <w:color w:val="000000"/>
          <w:spacing w:val="0"/>
          <w:kern w:val="0"/>
          <w:position w:val="0"/>
          <w:sz w:val="24"/>
          <w:szCs w:val="24"/>
          <w:highlight w:val="none"/>
          <w:lang w:eastAsia="zh-CN"/>
        </w:rPr>
        <w:t>投标</w:t>
      </w:r>
      <w:r>
        <w:rPr>
          <w:rFonts w:hint="eastAsia" w:ascii="宋体" w:hAnsi="宋体" w:eastAsia="宋体" w:cs="宋体"/>
          <w:snapToGrid w:val="0"/>
          <w:color w:val="000000"/>
          <w:spacing w:val="0"/>
          <w:kern w:val="0"/>
          <w:position w:val="0"/>
          <w:sz w:val="24"/>
          <w:szCs w:val="24"/>
          <w:highlight w:val="none"/>
          <w:lang w:eastAsia="en-US"/>
        </w:rPr>
        <w:t>。</w:t>
      </w:r>
    </w:p>
    <w:p w14:paraId="0F9E33F9">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九</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本项目采购标的对应的中小企业划分标准所属行业：</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工业</w:t>
      </w:r>
      <w:r>
        <w:rPr>
          <w:rFonts w:hint="eastAsia" w:ascii="宋体" w:hAnsi="宋体" w:eastAsia="宋体" w:cs="宋体"/>
          <w:snapToGrid w:val="0"/>
          <w:color w:val="000000"/>
          <w:spacing w:val="0"/>
          <w:kern w:val="0"/>
          <w:position w:val="0"/>
          <w:sz w:val="24"/>
          <w:szCs w:val="24"/>
          <w:highlight w:val="none"/>
          <w:lang w:eastAsia="en-US"/>
        </w:rPr>
        <w:t>。</w:t>
      </w:r>
    </w:p>
    <w:p w14:paraId="2A3D41D2">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6" w:name="_Toc20714"/>
      <w:r>
        <w:rPr>
          <w:rFonts w:hint="eastAsia" w:ascii="宋体" w:hAnsi="宋体" w:eastAsia="宋体" w:cs="宋体"/>
          <w:b/>
          <w:bCs/>
          <w:snapToGrid w:val="0"/>
          <w:color w:val="000000"/>
          <w:spacing w:val="0"/>
          <w:kern w:val="0"/>
          <w:position w:val="0"/>
          <w:sz w:val="24"/>
          <w:szCs w:val="24"/>
          <w:highlight w:val="none"/>
          <w:lang w:eastAsia="en-US"/>
        </w:rPr>
        <w:t>二、申请人的资格要求</w:t>
      </w:r>
      <w:bookmarkEnd w:id="6"/>
    </w:p>
    <w:p w14:paraId="6EFE3E05">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（一）符合《中华人民共和国政府采购法》第二十二条规定</w:t>
      </w:r>
      <w:r>
        <w:rPr>
          <w:rFonts w:hint="eastAsia" w:ascii="宋体" w:hAnsi="宋体" w:eastAsia="宋体" w:cs="宋体"/>
          <w:snapToGrid w:val="0"/>
          <w:color w:val="000000"/>
          <w:spacing w:val="0"/>
          <w:kern w:val="0"/>
          <w:position w:val="0"/>
          <w:sz w:val="24"/>
          <w:szCs w:val="24"/>
          <w:highlight w:val="none"/>
          <w:lang w:val="en-US" w:eastAsia="zh-CN"/>
        </w:rPr>
        <w:t>的六项条件</w:t>
      </w:r>
      <w:r>
        <w:rPr>
          <w:rFonts w:hint="eastAsia" w:ascii="宋体" w:hAnsi="宋体" w:eastAsia="宋体" w:cs="宋体"/>
          <w:snapToGrid w:val="0"/>
          <w:color w:val="000000"/>
          <w:spacing w:val="0"/>
          <w:kern w:val="0"/>
          <w:position w:val="0"/>
          <w:sz w:val="24"/>
          <w:szCs w:val="24"/>
          <w:highlight w:val="none"/>
          <w:lang w:eastAsia="en-US"/>
        </w:rPr>
        <w:t>；</w:t>
      </w:r>
    </w:p>
    <w:p w14:paraId="65468A44">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（二）落实政府采购政策需满足的资格要求：</w:t>
      </w:r>
    </w:p>
    <w:p w14:paraId="46D04A98">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本项目按照以下第</w:t>
      </w:r>
      <w:r>
        <w:rPr>
          <w:rFonts w:hint="eastAsia" w:ascii="宋体" w:hAnsi="宋体" w:eastAsia="宋体" w:cs="宋体"/>
          <w:snapToGrid w:val="0"/>
          <w:color w:val="000000"/>
          <w:spacing w:val="0"/>
          <w:kern w:val="0"/>
          <w:position w:val="0"/>
          <w:sz w:val="24"/>
          <w:szCs w:val="24"/>
          <w:highlight w:val="none"/>
          <w:u w:val="single"/>
          <w:lang w:eastAsia="en-US"/>
        </w:rPr>
        <w:t xml:space="preserve"> </w:t>
      </w:r>
      <w:r>
        <w:rPr>
          <w:rFonts w:hint="eastAsia" w:ascii="宋体" w:hAnsi="宋体" w:eastAsia="宋体" w:cs="宋体"/>
          <w:b/>
          <w:bCs/>
          <w:snapToGrid w:val="0"/>
          <w:color w:val="000000"/>
          <w:spacing w:val="0"/>
          <w:kern w:val="0"/>
          <w:position w:val="0"/>
          <w:sz w:val="24"/>
          <w:szCs w:val="24"/>
          <w:highlight w:val="none"/>
          <w:u w:val="single" w:color="auto"/>
          <w:lang w:eastAsia="en-US"/>
        </w:rPr>
        <w:t>3</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种方式落实采购促进中小企业发展的要求：</w:t>
      </w:r>
    </w:p>
    <w:p w14:paraId="0261DBA3">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1.本项目为专门面向中小企业采购的项目。</w:t>
      </w:r>
    </w:p>
    <w:p w14:paraId="2CC6932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2.本项目通过以下第（）种方式预留部分采购份额采购中小企业服务：</w:t>
      </w:r>
    </w:p>
    <w:p w14:paraId="00C9AAD0">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以联合体形式参加，中小企业合同金额应当达到的比例为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7A17B51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进行合同分包，中小企业合同金额应当达到的比例为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0DFA7B7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3.本项目为非预留份额的采购项目，对小微企业报价给予扣除，用扣除后的价格参加评审，具体详见第二章“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 3</w:t>
      </w:r>
      <w:r>
        <w:rPr>
          <w:rFonts w:hint="eastAsia" w:ascii="宋体" w:hAnsi="宋体" w:eastAsia="宋体" w:cs="宋体"/>
          <w:snapToGrid w:val="0"/>
          <w:color w:val="000000"/>
          <w:spacing w:val="0"/>
          <w:kern w:val="0"/>
          <w:position w:val="0"/>
          <w:sz w:val="24"/>
          <w:szCs w:val="24"/>
          <w:highlight w:val="none"/>
          <w:lang w:val="en-US" w:eastAsia="zh-CN"/>
        </w:rPr>
        <w:t>0</w:t>
      </w:r>
      <w:r>
        <w:rPr>
          <w:rFonts w:hint="eastAsia" w:ascii="宋体" w:hAnsi="宋体" w:eastAsia="宋体" w:cs="宋体"/>
          <w:snapToGrid w:val="0"/>
          <w:color w:val="000000"/>
          <w:spacing w:val="0"/>
          <w:kern w:val="0"/>
          <w:position w:val="0"/>
          <w:sz w:val="24"/>
          <w:szCs w:val="24"/>
          <w:highlight w:val="none"/>
          <w:lang w:eastAsia="en-US"/>
        </w:rPr>
        <w:t>.1 项。</w:t>
      </w:r>
    </w:p>
    <w:p w14:paraId="05AE91E7">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注：监狱企业、残疾人福利性单位视同小微企业。</w:t>
      </w:r>
    </w:p>
    <w:p w14:paraId="0302045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（三）本项目的特定资格要求：</w:t>
      </w:r>
    </w:p>
    <w:p w14:paraId="37D07BBC">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1.投标人所投医疗器械产品必须有有效期内的医疗器械注册证；</w:t>
      </w:r>
    </w:p>
    <w:p w14:paraId="1573F7B2">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2.若投标供应商为代理商，须具备有效期内的医疗器械经营企业许可证或经营备案证。</w:t>
      </w:r>
    </w:p>
    <w:p w14:paraId="130BD5C0">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3.投标人提供参加投标的授权委托人必须为本单位注册在职员工，并提供近6个月任意一个月在本单位缴纳社保的证明。</w:t>
      </w:r>
    </w:p>
    <w:p w14:paraId="1899ECFE">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（四）拒绝下述条件的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参加本次采购活动：</w:t>
      </w:r>
    </w:p>
    <w:p w14:paraId="2D3178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单位负责人为同一人或者存在直接控股、管理关系的不同</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，不得同时参加同一合同项下的政府采购活动。</w:t>
      </w:r>
    </w:p>
    <w:p w14:paraId="4F40E94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2.凡为采购项目提供整体设计、规范编制或者项目管理、监理、检测等服务的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，不得再参加本项目的采购活动。</w:t>
      </w:r>
    </w:p>
    <w:p w14:paraId="165970E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被“信用中国”网站、“中国政府采购网”列入失信被执行人、重大税收违法案件当事人名单、政府采购严重违法失信行为记录名单。</w:t>
      </w:r>
    </w:p>
    <w:p w14:paraId="6936655D">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zh-CN"/>
        </w:rPr>
      </w:pPr>
      <w:bookmarkStart w:id="7" w:name="_Toc23087"/>
      <w:r>
        <w:rPr>
          <w:rFonts w:hint="eastAsia" w:ascii="宋体" w:hAnsi="宋体" w:eastAsia="宋体" w:cs="宋体"/>
          <w:b/>
          <w:bCs/>
          <w:snapToGrid w:val="0"/>
          <w:color w:val="000000"/>
          <w:spacing w:val="0"/>
          <w:kern w:val="0"/>
          <w:position w:val="0"/>
          <w:sz w:val="24"/>
          <w:szCs w:val="24"/>
          <w:highlight w:val="none"/>
          <w:lang w:eastAsia="en-US"/>
        </w:rPr>
        <w:t>三、获取</w:t>
      </w:r>
      <w:r>
        <w:rPr>
          <w:rFonts w:hint="eastAsia" w:ascii="宋体" w:hAnsi="宋体" w:eastAsia="宋体" w:cs="宋体"/>
          <w:b/>
          <w:bCs/>
          <w:snapToGrid w:val="0"/>
          <w:color w:val="000000"/>
          <w:spacing w:val="0"/>
          <w:kern w:val="0"/>
          <w:position w:val="0"/>
          <w:sz w:val="24"/>
          <w:szCs w:val="24"/>
          <w:highlight w:val="none"/>
          <w:lang w:eastAsia="zh-CN"/>
        </w:rPr>
        <w:t>招标文件</w:t>
      </w:r>
      <w:bookmarkEnd w:id="7"/>
    </w:p>
    <w:p w14:paraId="2F054B4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1.时间：自本公告发布第二日起五个工作日。</w:t>
      </w:r>
    </w:p>
    <w:p w14:paraId="3813CCA6">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2.获取方式</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登录淮安市公共资源交易网，在网站首页点击“交易平台”→药械采购（医用设备）－</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”，使用CA 锁登录系统→“填写信息”登记成功后，到“</w:t>
      </w:r>
      <w:r>
        <w:rPr>
          <w:rFonts w:hint="eastAsia" w:ascii="宋体" w:hAnsi="宋体" w:eastAsia="宋体" w:cs="宋体"/>
          <w:snapToGrid w:val="0"/>
          <w:color w:val="000000"/>
          <w:spacing w:val="0"/>
          <w:kern w:val="0"/>
          <w:position w:val="0"/>
          <w:sz w:val="24"/>
          <w:szCs w:val="24"/>
          <w:highlight w:val="none"/>
          <w:lang w:val="en-US" w:eastAsia="zh-CN"/>
        </w:rPr>
        <w:t>采购</w:t>
      </w:r>
      <w:r>
        <w:rPr>
          <w:rFonts w:hint="eastAsia" w:ascii="宋体" w:hAnsi="宋体" w:eastAsia="宋体" w:cs="宋体"/>
          <w:snapToGrid w:val="0"/>
          <w:color w:val="000000"/>
          <w:spacing w:val="0"/>
          <w:kern w:val="0"/>
          <w:position w:val="0"/>
          <w:sz w:val="24"/>
          <w:szCs w:val="24"/>
          <w:highlight w:val="none"/>
          <w:lang w:eastAsia="zh-CN"/>
        </w:rPr>
        <w:t>文件</w:t>
      </w:r>
      <w:r>
        <w:rPr>
          <w:rFonts w:hint="eastAsia" w:ascii="宋体" w:hAnsi="宋体" w:eastAsia="宋体" w:cs="宋体"/>
          <w:snapToGrid w:val="0"/>
          <w:color w:val="000000"/>
          <w:spacing w:val="0"/>
          <w:kern w:val="0"/>
          <w:position w:val="0"/>
          <w:sz w:val="24"/>
          <w:szCs w:val="24"/>
          <w:highlight w:val="none"/>
          <w:lang w:eastAsia="en-US"/>
        </w:rPr>
        <w:t>下载”界面找到该项目下载文件并进行操作。</w:t>
      </w:r>
    </w:p>
    <w:p w14:paraId="6822F98C">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必须办理 CA 锁和电子签章后方可下载</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。具体办理详见淮安市公共资源交易网《政府采购操作指南》（http://ggzy.huaian.gov.cn/fwdh/005003/20180630/76313197-2b3a-4f28-9493-28ff7908c886.html）。</w:t>
      </w:r>
    </w:p>
    <w:p w14:paraId="385BB8E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8" w:name="_Toc23529"/>
      <w:r>
        <w:rPr>
          <w:rFonts w:hint="eastAsia" w:ascii="宋体" w:hAnsi="宋体" w:eastAsia="宋体" w:cs="宋体"/>
          <w:b/>
          <w:bCs/>
          <w:snapToGrid w:val="0"/>
          <w:color w:val="000000"/>
          <w:spacing w:val="0"/>
          <w:kern w:val="0"/>
          <w:position w:val="0"/>
          <w:sz w:val="24"/>
          <w:szCs w:val="24"/>
          <w:highlight w:val="none"/>
          <w:lang w:eastAsia="en-US"/>
        </w:rPr>
        <w:t>四、提交</w:t>
      </w:r>
      <w:r>
        <w:rPr>
          <w:rFonts w:hint="eastAsia" w:ascii="宋体" w:hAnsi="宋体" w:eastAsia="宋体" w:cs="宋体"/>
          <w:b/>
          <w:bCs/>
          <w:snapToGrid w:val="0"/>
          <w:color w:val="000000"/>
          <w:spacing w:val="0"/>
          <w:kern w:val="0"/>
          <w:position w:val="0"/>
          <w:sz w:val="24"/>
          <w:szCs w:val="24"/>
          <w:highlight w:val="none"/>
          <w:lang w:eastAsia="zh-CN"/>
        </w:rPr>
        <w:t>投标文件</w:t>
      </w:r>
      <w:r>
        <w:rPr>
          <w:rFonts w:hint="eastAsia" w:ascii="宋体" w:hAnsi="宋体" w:eastAsia="宋体" w:cs="宋体"/>
          <w:b/>
          <w:bCs/>
          <w:snapToGrid w:val="0"/>
          <w:color w:val="000000"/>
          <w:spacing w:val="0"/>
          <w:kern w:val="0"/>
          <w:position w:val="0"/>
          <w:sz w:val="24"/>
          <w:szCs w:val="24"/>
          <w:highlight w:val="none"/>
          <w:lang w:eastAsia="en-US"/>
        </w:rPr>
        <w:t>截止时间、</w:t>
      </w:r>
      <w:r>
        <w:rPr>
          <w:rFonts w:hint="eastAsia" w:ascii="宋体" w:hAnsi="宋体" w:eastAsia="宋体" w:cs="宋体"/>
          <w:b/>
          <w:bCs/>
          <w:snapToGrid w:val="0"/>
          <w:color w:val="000000"/>
          <w:spacing w:val="0"/>
          <w:kern w:val="0"/>
          <w:position w:val="0"/>
          <w:sz w:val="24"/>
          <w:szCs w:val="24"/>
          <w:highlight w:val="none"/>
          <w:lang w:eastAsia="zh-CN"/>
        </w:rPr>
        <w:t>投标</w:t>
      </w:r>
      <w:r>
        <w:rPr>
          <w:rFonts w:hint="eastAsia" w:ascii="宋体" w:hAnsi="宋体" w:eastAsia="宋体" w:cs="宋体"/>
          <w:b/>
          <w:bCs/>
          <w:snapToGrid w:val="0"/>
          <w:color w:val="000000"/>
          <w:spacing w:val="0"/>
          <w:kern w:val="0"/>
          <w:position w:val="0"/>
          <w:sz w:val="24"/>
          <w:szCs w:val="24"/>
          <w:highlight w:val="none"/>
          <w:lang w:eastAsia="en-US"/>
        </w:rPr>
        <w:t>时间和地点</w:t>
      </w:r>
      <w:bookmarkEnd w:id="8"/>
    </w:p>
    <w:p w14:paraId="4CDAF5C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1.电子</w:t>
      </w:r>
      <w:r>
        <w:rPr>
          <w:rFonts w:hint="eastAsia" w:ascii="宋体" w:hAnsi="宋体" w:eastAsia="宋体" w:cs="宋体"/>
          <w:snapToGrid w:val="0"/>
          <w:color w:val="000000"/>
          <w:spacing w:val="0"/>
          <w:kern w:val="0"/>
          <w:position w:val="0"/>
          <w:sz w:val="24"/>
          <w:szCs w:val="24"/>
          <w:highlight w:val="none"/>
          <w:lang w:eastAsia="zh-CN"/>
        </w:rPr>
        <w:t>投标文件</w:t>
      </w:r>
      <w:r>
        <w:rPr>
          <w:rFonts w:hint="eastAsia" w:ascii="宋体" w:hAnsi="宋体" w:eastAsia="宋体" w:cs="宋体"/>
          <w:snapToGrid w:val="0"/>
          <w:color w:val="000000"/>
          <w:spacing w:val="0"/>
          <w:kern w:val="0"/>
          <w:position w:val="0"/>
          <w:sz w:val="24"/>
          <w:szCs w:val="24"/>
          <w:highlight w:val="none"/>
          <w:lang w:eastAsia="en-US"/>
        </w:rPr>
        <w:t>提交截止时间及</w:t>
      </w:r>
      <w:r>
        <w:rPr>
          <w:rFonts w:hint="eastAsia" w:ascii="宋体" w:hAnsi="宋体" w:eastAsia="宋体" w:cs="宋体"/>
          <w:snapToGrid w:val="0"/>
          <w:color w:val="000000"/>
          <w:spacing w:val="0"/>
          <w:kern w:val="0"/>
          <w:position w:val="0"/>
          <w:sz w:val="24"/>
          <w:szCs w:val="24"/>
          <w:highlight w:val="none"/>
          <w:lang w:val="en-US" w:eastAsia="zh-CN"/>
        </w:rPr>
        <w:t>开标</w:t>
      </w:r>
      <w:r>
        <w:rPr>
          <w:rFonts w:hint="eastAsia" w:ascii="宋体" w:hAnsi="宋体" w:eastAsia="宋体" w:cs="宋体"/>
          <w:snapToGrid w:val="0"/>
          <w:color w:val="000000"/>
          <w:spacing w:val="0"/>
          <w:kern w:val="0"/>
          <w:position w:val="0"/>
          <w:sz w:val="24"/>
          <w:szCs w:val="24"/>
          <w:highlight w:val="none"/>
          <w:lang w:eastAsia="en-US"/>
        </w:rPr>
        <w:t>时间</w:t>
      </w:r>
      <w:r>
        <w:rPr>
          <w:rFonts w:hint="eastAsia" w:ascii="宋体" w:hAnsi="宋体" w:eastAsia="宋体" w:cs="宋体"/>
          <w:b/>
          <w:bCs/>
          <w:snapToGrid w:val="0"/>
          <w:color w:val="000000"/>
          <w:spacing w:val="0"/>
          <w:kern w:val="0"/>
          <w:position w:val="0"/>
          <w:sz w:val="24"/>
          <w:szCs w:val="24"/>
          <w:highlight w:val="none"/>
          <w:lang w:eastAsia="en-US"/>
        </w:rPr>
        <w:t>：</w:t>
      </w:r>
      <w:r>
        <w:rPr>
          <w:rFonts w:hint="eastAsia" w:ascii="宋体" w:hAnsi="宋体" w:eastAsia="宋体" w:cs="宋体"/>
          <w:b/>
          <w:bCs/>
          <w:snapToGrid w:val="0"/>
          <w:color w:val="000000"/>
          <w:spacing w:val="0"/>
          <w:kern w:val="0"/>
          <w:position w:val="0"/>
          <w:sz w:val="24"/>
          <w:szCs w:val="24"/>
          <w:highlight w:val="none"/>
          <w:u w:val="single" w:color="auto"/>
          <w:lang w:eastAsia="en-US"/>
        </w:rPr>
        <w:t>202</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6</w:t>
      </w:r>
      <w:r>
        <w:rPr>
          <w:rFonts w:hint="eastAsia" w:ascii="宋体" w:hAnsi="宋体" w:eastAsia="宋体" w:cs="宋体"/>
          <w:b/>
          <w:bCs/>
          <w:snapToGrid w:val="0"/>
          <w:color w:val="000000"/>
          <w:spacing w:val="0"/>
          <w:kern w:val="0"/>
          <w:position w:val="0"/>
          <w:sz w:val="24"/>
          <w:szCs w:val="24"/>
          <w:highlight w:val="none"/>
          <w:u w:val="single" w:color="auto"/>
          <w:lang w:eastAsia="en-US"/>
        </w:rPr>
        <w:t>年</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月</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26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日</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9</w:t>
      </w:r>
      <w:r>
        <w:rPr>
          <w:rFonts w:hint="eastAsia" w:ascii="宋体" w:hAnsi="宋体" w:eastAsia="宋体" w:cs="宋体"/>
          <w:b/>
          <w:bCs/>
          <w:snapToGrid w:val="0"/>
          <w:color w:val="000000"/>
          <w:spacing w:val="0"/>
          <w:kern w:val="0"/>
          <w:position w:val="0"/>
          <w:sz w:val="24"/>
          <w:szCs w:val="24"/>
          <w:highlight w:val="none"/>
          <w:u w:val="single" w:color="auto"/>
          <w:lang w:eastAsia="en-US"/>
        </w:rPr>
        <w:t>时</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3</w:t>
      </w:r>
      <w:r>
        <w:rPr>
          <w:rFonts w:hint="eastAsia" w:ascii="宋体" w:hAnsi="宋体" w:eastAsia="宋体" w:cs="宋体"/>
          <w:b/>
          <w:bCs/>
          <w:snapToGrid w:val="0"/>
          <w:color w:val="000000"/>
          <w:spacing w:val="0"/>
          <w:kern w:val="0"/>
          <w:position w:val="0"/>
          <w:sz w:val="24"/>
          <w:szCs w:val="24"/>
          <w:highlight w:val="none"/>
          <w:u w:val="single" w:color="auto"/>
          <w:lang w:eastAsia="en-US"/>
        </w:rPr>
        <w:t>0分（北京时间）</w:t>
      </w:r>
    </w:p>
    <w:p w14:paraId="6421CC6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2.电子投标文件上传地址：</w:t>
      </w:r>
    </w:p>
    <w:p w14:paraId="656F76D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fldChar w:fldCharType="begin"/>
      </w:r>
      <w:r>
        <w:rPr>
          <w:rFonts w:hint="eastAsia" w:ascii="宋体" w:hAnsi="宋体" w:eastAsia="宋体" w:cs="宋体"/>
          <w:snapToGrid w:val="0"/>
          <w:color w:val="000000"/>
          <w:spacing w:val="0"/>
          <w:kern w:val="0"/>
          <w:position w:val="0"/>
          <w:sz w:val="24"/>
          <w:szCs w:val="24"/>
          <w:highlight w:val="none"/>
          <w:lang w:eastAsia="en-US"/>
        </w:rPr>
        <w:instrText xml:space="preserve"> HYPERLINK "http://ggzy.huaian.gov.cn:50088/TPBidder/memberLogin" </w:instrText>
      </w:r>
      <w:r>
        <w:rPr>
          <w:rFonts w:hint="eastAsia" w:ascii="宋体" w:hAnsi="宋体" w:eastAsia="宋体" w:cs="宋体"/>
          <w:snapToGrid w:val="0"/>
          <w:color w:val="000000"/>
          <w:spacing w:val="0"/>
          <w:kern w:val="0"/>
          <w:position w:val="0"/>
          <w:sz w:val="24"/>
          <w:szCs w:val="24"/>
          <w:highlight w:val="none"/>
          <w:lang w:eastAsia="en-US"/>
        </w:rPr>
        <w:fldChar w:fldCharType="separate"/>
      </w:r>
      <w:r>
        <w:rPr>
          <w:rFonts w:hint="eastAsia" w:ascii="宋体" w:hAnsi="宋体" w:eastAsia="宋体" w:cs="宋体"/>
          <w:b/>
          <w:bCs/>
          <w:snapToGrid w:val="0"/>
          <w:color w:val="000000"/>
          <w:spacing w:val="0"/>
          <w:kern w:val="0"/>
          <w:position w:val="0"/>
          <w:sz w:val="24"/>
          <w:szCs w:val="24"/>
          <w:highlight w:val="none"/>
          <w:u w:val="single" w:color="auto"/>
          <w:lang w:eastAsia="en-US"/>
        </w:rPr>
        <w:t>http://ggzy.huaian.gov.cn:50088/TPBidder/memberLogin</w:t>
      </w:r>
      <w:r>
        <w:rPr>
          <w:rFonts w:hint="eastAsia" w:ascii="宋体" w:hAnsi="宋体" w:eastAsia="宋体" w:cs="宋体"/>
          <w:b/>
          <w:bCs/>
          <w:snapToGrid w:val="0"/>
          <w:color w:val="000000"/>
          <w:spacing w:val="0"/>
          <w:kern w:val="0"/>
          <w:position w:val="0"/>
          <w:sz w:val="24"/>
          <w:szCs w:val="24"/>
          <w:highlight w:val="none"/>
          <w:u w:val="single" w:color="auto"/>
          <w:lang w:eastAsia="en-US"/>
        </w:rPr>
        <w:fldChar w:fldCharType="end"/>
      </w:r>
    </w:p>
    <w:p w14:paraId="73A4A52A">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3.</w:t>
      </w:r>
      <w:r>
        <w:rPr>
          <w:rFonts w:hint="eastAsia" w:ascii="宋体" w:hAnsi="宋体" w:eastAsia="宋体" w:cs="宋体"/>
          <w:b/>
          <w:bCs/>
          <w:snapToGrid w:val="0"/>
          <w:color w:val="000000"/>
          <w:spacing w:val="0"/>
          <w:kern w:val="0"/>
          <w:position w:val="0"/>
          <w:sz w:val="24"/>
          <w:szCs w:val="24"/>
          <w:highlight w:val="none"/>
          <w:lang w:val="en-US" w:eastAsia="zh-CN"/>
        </w:rPr>
        <w:t>开标</w:t>
      </w:r>
      <w:r>
        <w:rPr>
          <w:rFonts w:hint="eastAsia" w:ascii="宋体" w:hAnsi="宋体" w:eastAsia="宋体" w:cs="宋体"/>
          <w:b/>
          <w:bCs/>
          <w:snapToGrid w:val="0"/>
          <w:color w:val="000000"/>
          <w:spacing w:val="0"/>
          <w:kern w:val="0"/>
          <w:position w:val="0"/>
          <w:sz w:val="24"/>
          <w:szCs w:val="24"/>
          <w:highlight w:val="none"/>
          <w:lang w:eastAsia="en-US"/>
        </w:rPr>
        <w:t>地点：</w:t>
      </w:r>
      <w:r>
        <w:rPr>
          <w:rFonts w:hint="eastAsia" w:ascii="宋体" w:hAnsi="宋体" w:eastAsia="宋体" w:cs="宋体"/>
          <w:b/>
          <w:bCs/>
          <w:snapToGrid w:val="0"/>
          <w:color w:val="000000"/>
          <w:spacing w:val="0"/>
          <w:kern w:val="0"/>
          <w:position w:val="0"/>
          <w:sz w:val="24"/>
          <w:szCs w:val="24"/>
          <w:highlight w:val="none"/>
          <w:u w:val="single" w:color="auto"/>
          <w:lang w:eastAsia="en-US"/>
        </w:rPr>
        <w:t>淮安市深圳路16号</w:t>
      </w:r>
      <w:r>
        <w:rPr>
          <w:rFonts w:hint="eastAsia" w:ascii="宋体" w:hAnsi="宋体" w:eastAsia="宋体" w:cs="宋体"/>
          <w:b/>
          <w:bCs/>
          <w:snapToGrid w:val="0"/>
          <w:color w:val="000000"/>
          <w:spacing w:val="0"/>
          <w:kern w:val="0"/>
          <w:position w:val="0"/>
          <w:sz w:val="24"/>
          <w:szCs w:val="24"/>
          <w:highlight w:val="none"/>
          <w:u w:val="single" w:color="auto"/>
          <w:lang w:eastAsia="zh-CN"/>
        </w:rPr>
        <w:t>淮安市公共资源交易中心</w:t>
      </w:r>
      <w:r>
        <w:rPr>
          <w:rFonts w:hint="eastAsia" w:ascii="宋体" w:hAnsi="宋体" w:eastAsia="宋体" w:cs="宋体"/>
          <w:b/>
          <w:bCs/>
          <w:snapToGrid w:val="0"/>
          <w:color w:val="000000"/>
          <w:spacing w:val="0"/>
          <w:kern w:val="0"/>
          <w:position w:val="0"/>
          <w:sz w:val="24"/>
          <w:szCs w:val="24"/>
          <w:highlight w:val="none"/>
          <w:u w:val="single" w:color="auto"/>
          <w:lang w:eastAsia="en-US"/>
        </w:rPr>
        <w:t>。</w:t>
      </w:r>
    </w:p>
    <w:p w14:paraId="254A68F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9" w:name="_Toc24462"/>
      <w:r>
        <w:rPr>
          <w:rFonts w:hint="eastAsia" w:ascii="宋体" w:hAnsi="宋体" w:eastAsia="宋体" w:cs="宋体"/>
          <w:b/>
          <w:bCs/>
          <w:snapToGrid w:val="0"/>
          <w:color w:val="000000"/>
          <w:spacing w:val="0"/>
          <w:kern w:val="0"/>
          <w:position w:val="0"/>
          <w:sz w:val="24"/>
          <w:szCs w:val="24"/>
          <w:highlight w:val="none"/>
          <w:lang w:eastAsia="en-US"/>
        </w:rPr>
        <w:t>五、公告期限</w:t>
      </w:r>
      <w:bookmarkEnd w:id="9"/>
    </w:p>
    <w:p w14:paraId="759738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自本公告发布第二日起</w:t>
      </w:r>
      <w:r>
        <w:rPr>
          <w:rFonts w:hint="eastAsia" w:ascii="宋体" w:hAnsi="宋体" w:eastAsia="宋体" w:cs="宋体"/>
          <w:snapToGrid w:val="0"/>
          <w:color w:val="000000"/>
          <w:spacing w:val="0"/>
          <w:kern w:val="0"/>
          <w:position w:val="0"/>
          <w:sz w:val="24"/>
          <w:szCs w:val="24"/>
          <w:highlight w:val="none"/>
          <w:lang w:val="en-US" w:eastAsia="zh-CN"/>
        </w:rPr>
        <w:t>五</w:t>
      </w:r>
      <w:r>
        <w:rPr>
          <w:rFonts w:hint="eastAsia" w:ascii="宋体" w:hAnsi="宋体" w:eastAsia="宋体" w:cs="宋体"/>
          <w:snapToGrid w:val="0"/>
          <w:color w:val="000000"/>
          <w:spacing w:val="0"/>
          <w:kern w:val="0"/>
          <w:position w:val="0"/>
          <w:sz w:val="24"/>
          <w:szCs w:val="24"/>
          <w:highlight w:val="none"/>
          <w:lang w:eastAsia="en-US"/>
        </w:rPr>
        <w:t>个工作日。</w:t>
      </w:r>
    </w:p>
    <w:p w14:paraId="4153AA7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0" w:name="_Toc21972"/>
      <w:r>
        <w:rPr>
          <w:rFonts w:hint="eastAsia" w:ascii="宋体" w:hAnsi="宋体" w:eastAsia="宋体" w:cs="宋体"/>
          <w:b/>
          <w:bCs/>
          <w:snapToGrid w:val="0"/>
          <w:color w:val="000000"/>
          <w:spacing w:val="0"/>
          <w:kern w:val="0"/>
          <w:position w:val="0"/>
          <w:sz w:val="24"/>
          <w:szCs w:val="24"/>
          <w:highlight w:val="none"/>
          <w:lang w:eastAsia="en-US"/>
        </w:rPr>
        <w:t>六、其他补充事宜</w:t>
      </w:r>
      <w:bookmarkEnd w:id="10"/>
    </w:p>
    <w:p w14:paraId="313573A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val="en-US" w:eastAsia="zh-CN"/>
        </w:rPr>
        <w:t>投标</w:t>
      </w:r>
      <w:r>
        <w:rPr>
          <w:rFonts w:hint="eastAsia" w:ascii="宋体" w:hAnsi="宋体" w:eastAsia="宋体" w:cs="宋体"/>
          <w:snapToGrid w:val="0"/>
          <w:color w:val="000000"/>
          <w:spacing w:val="0"/>
          <w:kern w:val="0"/>
          <w:position w:val="0"/>
          <w:sz w:val="24"/>
          <w:szCs w:val="24"/>
          <w:highlight w:val="none"/>
          <w:lang w:eastAsia="en-US"/>
        </w:rPr>
        <w:t>保证金：本项目</w:t>
      </w:r>
      <w:r>
        <w:rPr>
          <w:rFonts w:hint="eastAsia" w:ascii="宋体" w:hAnsi="宋体" w:eastAsia="宋体" w:cs="宋体"/>
          <w:snapToGrid w:val="0"/>
          <w:color w:val="000000"/>
          <w:spacing w:val="0"/>
          <w:kern w:val="0"/>
          <w:position w:val="0"/>
          <w:sz w:val="24"/>
          <w:szCs w:val="24"/>
          <w:highlight w:val="none"/>
          <w:lang w:val="en-US" w:eastAsia="zh-CN"/>
        </w:rPr>
        <w:t>无需缴纳投标</w:t>
      </w:r>
      <w:r>
        <w:rPr>
          <w:rFonts w:hint="eastAsia" w:ascii="宋体" w:hAnsi="宋体" w:eastAsia="宋体" w:cs="宋体"/>
          <w:snapToGrid w:val="0"/>
          <w:color w:val="000000"/>
          <w:spacing w:val="0"/>
          <w:kern w:val="0"/>
          <w:position w:val="0"/>
          <w:sz w:val="24"/>
          <w:szCs w:val="24"/>
          <w:highlight w:val="none"/>
          <w:lang w:eastAsia="en-US"/>
        </w:rPr>
        <w:t>保证金。</w:t>
      </w:r>
    </w:p>
    <w:p w14:paraId="591062C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2.履约保证金：本项目</w:t>
      </w:r>
      <w:r>
        <w:rPr>
          <w:rFonts w:hint="eastAsia" w:ascii="宋体" w:hAnsi="宋体" w:eastAsia="宋体" w:cs="宋体"/>
          <w:snapToGrid w:val="0"/>
          <w:color w:val="000000"/>
          <w:spacing w:val="0"/>
          <w:kern w:val="0"/>
          <w:position w:val="0"/>
          <w:sz w:val="24"/>
          <w:szCs w:val="24"/>
          <w:highlight w:val="none"/>
          <w:lang w:val="en-US" w:eastAsia="zh-CN"/>
        </w:rPr>
        <w:t>无需缴纳</w:t>
      </w:r>
      <w:r>
        <w:rPr>
          <w:rFonts w:hint="eastAsia" w:ascii="宋体" w:hAnsi="宋体" w:eastAsia="宋体" w:cs="宋体"/>
          <w:snapToGrid w:val="0"/>
          <w:color w:val="000000"/>
          <w:spacing w:val="0"/>
          <w:kern w:val="0"/>
          <w:position w:val="0"/>
          <w:sz w:val="24"/>
          <w:szCs w:val="24"/>
          <w:highlight w:val="none"/>
          <w:lang w:eastAsia="en-US"/>
        </w:rPr>
        <w:t>履约保证金。</w:t>
      </w:r>
    </w:p>
    <w:p w14:paraId="59CBA88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3</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评标办法：综合评分法。</w:t>
      </w:r>
    </w:p>
    <w:p w14:paraId="7A8F6CC1">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1" w:name="_Toc23631"/>
      <w:r>
        <w:rPr>
          <w:rFonts w:hint="eastAsia" w:ascii="宋体" w:hAnsi="宋体" w:eastAsia="宋体" w:cs="宋体"/>
          <w:b/>
          <w:bCs/>
          <w:snapToGrid w:val="0"/>
          <w:color w:val="000000"/>
          <w:spacing w:val="0"/>
          <w:kern w:val="0"/>
          <w:position w:val="0"/>
          <w:sz w:val="24"/>
          <w:szCs w:val="24"/>
          <w:highlight w:val="none"/>
          <w:lang w:eastAsia="en-US"/>
        </w:rPr>
        <w:t>七、对本次采购提出询问，请按以下方式联系。</w:t>
      </w:r>
      <w:bookmarkEnd w:id="11"/>
    </w:p>
    <w:p w14:paraId="4B10111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1.采购人信息</w:t>
      </w:r>
    </w:p>
    <w:p w14:paraId="522810E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淮安市卫生健康委员会</w:t>
      </w:r>
    </w:p>
    <w:p w14:paraId="11E61FD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 xml:space="preserve">淮安市清江浦区和平路3-1号 </w:t>
      </w:r>
    </w:p>
    <w:p w14:paraId="6705CA7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王主任</w:t>
      </w:r>
      <w:r>
        <w:rPr>
          <w:rFonts w:hint="eastAsia" w:ascii="宋体" w:hAnsi="宋体" w:eastAsia="宋体" w:cs="宋体"/>
          <w:snapToGrid w:val="0"/>
          <w:color w:val="000000"/>
          <w:spacing w:val="0"/>
          <w:kern w:val="0"/>
          <w:position w:val="0"/>
          <w:sz w:val="24"/>
          <w:szCs w:val="24"/>
          <w:highlight w:val="none"/>
          <w:lang w:eastAsia="en-US"/>
        </w:rPr>
        <w:t xml:space="preserve">  电话：</w:t>
      </w:r>
      <w:r>
        <w:rPr>
          <w:rFonts w:hint="eastAsia" w:ascii="宋体" w:hAnsi="宋体" w:eastAsia="宋体" w:cs="宋体"/>
          <w:snapToGrid w:val="0"/>
          <w:color w:val="000000"/>
          <w:spacing w:val="0"/>
          <w:kern w:val="0"/>
          <w:position w:val="0"/>
          <w:sz w:val="24"/>
          <w:szCs w:val="24"/>
          <w:highlight w:val="none"/>
          <w:lang w:eastAsia="zh-CN"/>
        </w:rPr>
        <w:t>0517-80831671</w:t>
      </w:r>
    </w:p>
    <w:p w14:paraId="73CCA34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2.采购代理机构信息</w:t>
      </w:r>
    </w:p>
    <w:p w14:paraId="0726C44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江苏京立资产评估咨询有限公司</w:t>
      </w:r>
    </w:p>
    <w:p w14:paraId="5BB44E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江苏省南京市江北新区孵鹰大厦16楼</w:t>
      </w:r>
    </w:p>
    <w:p w14:paraId="10C906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张敏</w:t>
      </w:r>
      <w:r>
        <w:rPr>
          <w:rFonts w:hint="eastAsia" w:ascii="宋体" w:hAnsi="宋体" w:eastAsia="宋体" w:cs="宋体"/>
          <w:snapToGrid w:val="0"/>
          <w:color w:val="000000"/>
          <w:spacing w:val="0"/>
          <w:kern w:val="0"/>
          <w:position w:val="0"/>
          <w:sz w:val="24"/>
          <w:szCs w:val="24"/>
          <w:highlight w:val="none"/>
          <w:lang w:eastAsia="en-US"/>
        </w:rPr>
        <w:t xml:space="preserve">   电话：025-52363586</w:t>
      </w:r>
    </w:p>
    <w:p w14:paraId="0D8F6C3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3.监督管理部门</w:t>
      </w:r>
    </w:p>
    <w:p w14:paraId="19D7CE0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名称：淮安市卫生健康委员会</w:t>
      </w:r>
    </w:p>
    <w:p w14:paraId="2F04138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联系方式：0517-80831618</w:t>
      </w:r>
    </w:p>
    <w:p w14:paraId="4B72230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2" w:name="_Toc1577"/>
      <w:r>
        <w:rPr>
          <w:rFonts w:hint="eastAsia" w:ascii="宋体" w:hAnsi="宋体" w:eastAsia="宋体" w:cs="宋体"/>
          <w:b/>
          <w:bCs/>
          <w:snapToGrid w:val="0"/>
          <w:color w:val="000000"/>
          <w:spacing w:val="0"/>
          <w:kern w:val="0"/>
          <w:position w:val="0"/>
          <w:sz w:val="24"/>
          <w:szCs w:val="24"/>
          <w:highlight w:val="none"/>
          <w:lang w:eastAsia="en-US"/>
        </w:rPr>
        <w:t>八、“全流程不见面交易采购”注意事项</w:t>
      </w:r>
      <w:bookmarkEnd w:id="12"/>
    </w:p>
    <w:p w14:paraId="0DFF4BA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黑体" w:hAnsi="黑体" w:eastAsia="黑体" w:cs="黑体"/>
          <w:b w:val="0"/>
          <w:bCs w:val="0"/>
          <w:spacing w:val="0"/>
          <w:position w:val="0"/>
          <w:sz w:val="35"/>
          <w:szCs w:val="35"/>
          <w:highlight w:val="none"/>
        </w:rPr>
      </w:pPr>
      <w:r>
        <w:rPr>
          <w:rFonts w:hint="eastAsia" w:ascii="宋体" w:hAnsi="宋体" w:eastAsia="宋体" w:cs="宋体"/>
          <w:snapToGrid w:val="0"/>
          <w:color w:val="000000"/>
          <w:spacing w:val="0"/>
          <w:kern w:val="0"/>
          <w:position w:val="0"/>
          <w:sz w:val="24"/>
          <w:szCs w:val="24"/>
          <w:highlight w:val="none"/>
          <w:lang w:eastAsia="en-US"/>
        </w:rPr>
        <w:t>本项目采用“全流程不见面交易”模式，通过不见面交易系统及相应的配套硬件设备（摄像头、话筒、麦克风等）完成远程解密、公布报价、澄清等交互环节。相关要求和说明详见第二章“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w:t>
      </w:r>
      <w:r>
        <w:rPr>
          <w:rFonts w:hint="eastAsia" w:ascii="宋体" w:hAnsi="宋体" w:eastAsia="宋体" w:cs="宋体"/>
          <w:snapToGrid w:val="0"/>
          <w:color w:val="000000"/>
          <w:spacing w:val="0"/>
          <w:kern w:val="0"/>
          <w:position w:val="0"/>
          <w:sz w:val="24"/>
          <w:szCs w:val="24"/>
          <w:highlight w:val="none"/>
          <w:lang w:val="en-US" w:eastAsia="zh-CN"/>
        </w:rPr>
        <w:t>20</w:t>
      </w:r>
      <w:r>
        <w:rPr>
          <w:rFonts w:hint="eastAsia" w:ascii="宋体" w:hAnsi="宋体" w:eastAsia="宋体" w:cs="宋体"/>
          <w:snapToGrid w:val="0"/>
          <w:color w:val="000000"/>
          <w:spacing w:val="0"/>
          <w:kern w:val="0"/>
          <w:position w:val="0"/>
          <w:sz w:val="24"/>
          <w:szCs w:val="24"/>
          <w:highlight w:val="none"/>
          <w:lang w:eastAsia="en-US"/>
        </w:rPr>
        <w:t>条。</w:t>
      </w:r>
    </w:p>
    <w:p w14:paraId="444B7AC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13" w:name="_Toc9515"/>
      <w:r>
        <w:rPr>
          <w:rFonts w:hint="eastAsia" w:ascii="黑体" w:hAnsi="黑体" w:eastAsia="黑体" w:cs="黑体"/>
          <w:b w:val="0"/>
          <w:bCs w:val="0"/>
          <w:spacing w:val="0"/>
          <w:position w:val="0"/>
          <w:sz w:val="35"/>
          <w:szCs w:val="35"/>
          <w:highlight w:val="none"/>
        </w:rPr>
        <w:t xml:space="preserve">第二章 </w:t>
      </w:r>
      <w:r>
        <w:rPr>
          <w:rFonts w:hint="eastAsia" w:ascii="黑体" w:hAnsi="黑体" w:eastAsia="黑体" w:cs="黑体"/>
          <w:b w:val="0"/>
          <w:bCs w:val="0"/>
          <w:spacing w:val="0"/>
          <w:position w:val="0"/>
          <w:sz w:val="35"/>
          <w:szCs w:val="35"/>
          <w:highlight w:val="none"/>
          <w:lang w:eastAsia="zh-CN"/>
        </w:rPr>
        <w:t>投标人</w:t>
      </w:r>
      <w:r>
        <w:rPr>
          <w:rFonts w:hint="eastAsia" w:ascii="黑体" w:hAnsi="黑体" w:eastAsia="黑体" w:cs="黑体"/>
          <w:b w:val="0"/>
          <w:bCs w:val="0"/>
          <w:spacing w:val="0"/>
          <w:position w:val="0"/>
          <w:sz w:val="35"/>
          <w:szCs w:val="35"/>
          <w:highlight w:val="none"/>
        </w:rPr>
        <w:t>须知</w:t>
      </w:r>
      <w:bookmarkEnd w:id="13"/>
    </w:p>
    <w:p w14:paraId="41B3017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4" w:name="_Toc13602"/>
      <w:r>
        <w:rPr>
          <w:rFonts w:hint="eastAsia" w:asciiTheme="minorEastAsia" w:hAnsiTheme="minorEastAsia" w:eastAsiaTheme="minorEastAsia" w:cstheme="minorEastAsia"/>
          <w:b/>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总则</w:t>
      </w:r>
      <w:bookmarkEnd w:id="14"/>
    </w:p>
    <w:p w14:paraId="4521C1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1.适用范围</w:t>
      </w:r>
    </w:p>
    <w:p w14:paraId="698D5A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仅适用于本次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邀请中所述项目的采购。</w:t>
      </w:r>
    </w:p>
    <w:p w14:paraId="3D94283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2.合格的</w:t>
      </w:r>
      <w:r>
        <w:rPr>
          <w:rFonts w:hint="eastAsia" w:asciiTheme="minorEastAsia" w:hAnsiTheme="minorEastAsia" w:eastAsiaTheme="minorEastAsia" w:cstheme="minorEastAsia"/>
          <w:b/>
          <w:bCs/>
          <w:spacing w:val="0"/>
          <w:position w:val="0"/>
          <w:sz w:val="24"/>
          <w:szCs w:val="24"/>
          <w:highlight w:val="none"/>
          <w:lang w:eastAsia="zh-CN"/>
        </w:rPr>
        <w:t>投标人</w:t>
      </w:r>
    </w:p>
    <w:p w14:paraId="5D231E3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 </w:t>
      </w:r>
      <w:r>
        <w:rPr>
          <w:rFonts w:hint="eastAsia" w:asciiTheme="minorEastAsia" w:hAnsiTheme="minorEastAsia" w:eastAsiaTheme="minorEastAsia" w:cstheme="minorEastAsia"/>
          <w:spacing w:val="0"/>
          <w:position w:val="0"/>
          <w:sz w:val="24"/>
          <w:szCs w:val="24"/>
          <w:highlight w:val="none"/>
          <w:lang w:val="en-US" w:eastAsia="zh-CN"/>
        </w:rPr>
        <w:t>满足</w:t>
      </w:r>
      <w:r>
        <w:rPr>
          <w:rFonts w:hint="eastAsia" w:asciiTheme="minorEastAsia" w:hAnsiTheme="minorEastAsia" w:eastAsiaTheme="minorEastAsia" w:cstheme="minorEastAsia"/>
          <w:spacing w:val="0"/>
          <w:position w:val="0"/>
          <w:sz w:val="24"/>
          <w:szCs w:val="24"/>
          <w:highlight w:val="none"/>
        </w:rPr>
        <w:t>第一章</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w:t>
      </w:r>
      <w:r>
        <w:rPr>
          <w:rFonts w:hint="eastAsia" w:asciiTheme="minorEastAsia" w:hAnsiTheme="minorEastAsia" w:eastAsiaTheme="minorEastAsia" w:cstheme="minorEastAsia"/>
          <w:spacing w:val="0"/>
          <w:position w:val="0"/>
          <w:sz w:val="24"/>
          <w:szCs w:val="24"/>
          <w:highlight w:val="none"/>
          <w:lang w:eastAsia="zh-CN"/>
        </w:rPr>
        <w:t>投标人资格要求的规定</w:t>
      </w:r>
      <w:r>
        <w:rPr>
          <w:rFonts w:hint="eastAsia" w:asciiTheme="minorEastAsia" w:hAnsiTheme="minorEastAsia" w:eastAsiaTheme="minorEastAsia" w:cstheme="minorEastAsia"/>
          <w:spacing w:val="0"/>
          <w:position w:val="0"/>
          <w:sz w:val="24"/>
          <w:szCs w:val="24"/>
          <w:highlight w:val="none"/>
        </w:rPr>
        <w:t>；</w:t>
      </w:r>
    </w:p>
    <w:p w14:paraId="48CDE12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 满足招标文件中实质性条款的规定。</w:t>
      </w:r>
    </w:p>
    <w:p w14:paraId="4E2A96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.法律适用</w:t>
      </w:r>
    </w:p>
    <w:p w14:paraId="531D3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.1 《中华人民共和国政府采购法》、《中华人民共和国政府采购法实施条例》、《政府采购货物和服务招标投标管理办法》等有关法律、规章和规定等。</w:t>
      </w:r>
    </w:p>
    <w:p w14:paraId="1735C4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费用</w:t>
      </w:r>
    </w:p>
    <w:p w14:paraId="4194CA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应自行承担所有与参加</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有关的费用。不论</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的结果如何，</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（以下简称采购代理机构）和</w:t>
      </w:r>
      <w:r>
        <w:rPr>
          <w:rFonts w:hint="eastAsia" w:asciiTheme="minorEastAsia" w:hAnsiTheme="minorEastAsia" w:eastAsiaTheme="minorEastAsia" w:cstheme="minorEastAsia"/>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（以下简称采购人）在任何情况下均无义务和责任承担这些费用</w:t>
      </w:r>
      <w:r>
        <w:rPr>
          <w:rFonts w:hint="eastAsia" w:asciiTheme="minorEastAsia" w:hAnsiTheme="minorEastAsia" w:eastAsiaTheme="minorEastAsia" w:cstheme="minorEastAsia"/>
          <w:spacing w:val="0"/>
          <w:position w:val="0"/>
          <w:sz w:val="24"/>
          <w:szCs w:val="24"/>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shd w:val="clear"/>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.2 本项目由</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协助采购人作了前期咨询工作</w:t>
      </w:r>
      <w:r>
        <w:rPr>
          <w:rFonts w:hint="eastAsia" w:asciiTheme="minorEastAsia" w:hAnsiTheme="minorEastAsia" w:eastAsiaTheme="minorEastAsia" w:cstheme="minorEastAsia"/>
          <w:spacing w:val="0"/>
          <w:position w:val="0"/>
          <w:sz w:val="24"/>
          <w:szCs w:val="24"/>
          <w:highlight w:val="none"/>
          <w:shd w:val="clear"/>
        </w:rPr>
        <w:t>。因此各投标人在报价时必须将咨询费用包含在投标报价中，不需单独列项计取。</w:t>
      </w:r>
      <w:r>
        <w:rPr>
          <w:rFonts w:hint="eastAsia" w:asciiTheme="minorEastAsia" w:hAnsiTheme="minorEastAsia" w:eastAsiaTheme="minorEastAsia" w:cstheme="minorEastAsia"/>
          <w:spacing w:val="0"/>
          <w:position w:val="0"/>
          <w:sz w:val="24"/>
          <w:szCs w:val="24"/>
          <w:highlight w:val="none"/>
          <w:shd w:val="clear"/>
          <w:lang w:eastAsia="zh-CN"/>
        </w:rPr>
        <w:t>代理费参照计价格【2002】1980号文</w:t>
      </w:r>
      <w:r>
        <w:rPr>
          <w:rFonts w:hint="eastAsia" w:asciiTheme="minorEastAsia" w:hAnsiTheme="minorEastAsia" w:eastAsiaTheme="minorEastAsia" w:cstheme="minorEastAsia"/>
          <w:spacing w:val="0"/>
          <w:position w:val="0"/>
          <w:sz w:val="24"/>
          <w:szCs w:val="24"/>
          <w:highlight w:val="none"/>
          <w:shd w:val="clear"/>
          <w:lang w:val="en-US" w:eastAsia="zh-CN"/>
        </w:rPr>
        <w:t>收费标准的50</w:t>
      </w:r>
      <w:r>
        <w:rPr>
          <w:rFonts w:hint="eastAsia" w:asciiTheme="minorEastAsia" w:hAnsiTheme="minorEastAsia" w:eastAsiaTheme="minorEastAsia" w:cstheme="minorEastAsia"/>
          <w:spacing w:val="0"/>
          <w:position w:val="0"/>
          <w:sz w:val="24"/>
          <w:szCs w:val="24"/>
          <w:highlight w:val="none"/>
          <w:shd w:val="clear"/>
          <w:lang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计</w:t>
      </w:r>
      <w:r>
        <w:rPr>
          <w:rFonts w:hint="eastAsia" w:asciiTheme="minorEastAsia" w:hAnsiTheme="minorEastAsia" w:eastAsiaTheme="minorEastAsia" w:cstheme="minorEastAsia"/>
          <w:spacing w:val="0"/>
          <w:position w:val="0"/>
          <w:sz w:val="24"/>
          <w:szCs w:val="24"/>
          <w:highlight w:val="none"/>
          <w:shd w:val="clear"/>
          <w:lang w:eastAsia="zh-CN"/>
        </w:rPr>
        <w:t>取</w:t>
      </w:r>
      <w:r>
        <w:rPr>
          <w:rFonts w:hint="eastAsia" w:asciiTheme="minorEastAsia" w:hAnsiTheme="minorEastAsia" w:eastAsiaTheme="minorEastAsia" w:cstheme="minorEastAsia"/>
          <w:spacing w:val="0"/>
          <w:position w:val="0"/>
          <w:sz w:val="24"/>
          <w:szCs w:val="24"/>
          <w:highlight w:val="none"/>
          <w:shd w:val="clear"/>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lang w:val="en-US" w:eastAsia="zh-CN"/>
        </w:rPr>
        <w:t>其他产生费用按实际发生收取</w:t>
      </w:r>
      <w:r>
        <w:rPr>
          <w:rFonts w:hint="eastAsia" w:asciiTheme="minorEastAsia" w:hAnsiTheme="minorEastAsia" w:eastAsiaTheme="minorEastAsia" w:cstheme="minorEastAsia"/>
          <w:color w:val="FF0000"/>
          <w:spacing w:val="0"/>
          <w:position w:val="0"/>
          <w:sz w:val="24"/>
          <w:szCs w:val="24"/>
          <w:highlight w:val="none"/>
          <w:shd w:val="clear"/>
          <w:lang w:val="en-US"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中标人必须在中标通知书发出前向代理机构一次性缴纳。</w:t>
      </w:r>
    </w:p>
    <w:p w14:paraId="473B732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eastAsia="zh-CN"/>
        </w:rPr>
      </w:pPr>
      <w:bookmarkStart w:id="15" w:name="_Toc13879"/>
      <w:r>
        <w:rPr>
          <w:rFonts w:hint="eastAsia" w:asciiTheme="minorEastAsia" w:hAnsiTheme="minorEastAsia" w:eastAsiaTheme="minorEastAsia" w:cstheme="minorEastAsia"/>
          <w:b/>
          <w:bCs/>
          <w:spacing w:val="0"/>
          <w:position w:val="0"/>
          <w:sz w:val="24"/>
          <w:szCs w:val="24"/>
          <w:highlight w:val="none"/>
        </w:rPr>
        <w:t>二、</w:t>
      </w:r>
      <w:r>
        <w:rPr>
          <w:rFonts w:hint="eastAsia" w:asciiTheme="minorEastAsia" w:hAnsiTheme="minorEastAsia" w:eastAsiaTheme="minorEastAsia" w:cstheme="minorEastAsia"/>
          <w:b/>
          <w:bCs/>
          <w:spacing w:val="0"/>
          <w:position w:val="0"/>
          <w:sz w:val="24"/>
          <w:szCs w:val="24"/>
          <w:highlight w:val="none"/>
          <w:lang w:eastAsia="zh-CN"/>
        </w:rPr>
        <w:t>招标文件</w:t>
      </w:r>
      <w:bookmarkEnd w:id="15"/>
    </w:p>
    <w:p w14:paraId="168BDAF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由以下部分组成：</w:t>
      </w:r>
    </w:p>
    <w:p w14:paraId="5BED7B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投标邀请</w:t>
      </w:r>
    </w:p>
    <w:p w14:paraId="64ED17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须知</w:t>
      </w:r>
    </w:p>
    <w:p w14:paraId="0FA700D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.3 评标标准</w:t>
      </w:r>
    </w:p>
    <w:p w14:paraId="39895A7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.4 合同格式及条款</w:t>
      </w:r>
    </w:p>
    <w:p w14:paraId="6FBAC7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.5 项目采购需求</w:t>
      </w:r>
    </w:p>
    <w:p w14:paraId="4C40BC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spacing w:val="0"/>
          <w:position w:val="0"/>
          <w:sz w:val="24"/>
          <w:szCs w:val="24"/>
          <w:highlight w:val="none"/>
          <w:lang w:eastAsia="zh-CN"/>
        </w:rPr>
        <w:t>投标文件</w:t>
      </w:r>
    </w:p>
    <w:p w14:paraId="4F7E11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的澄清</w:t>
      </w:r>
    </w:p>
    <w:p w14:paraId="60E5B0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.1 任何要求对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进行澄清的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，均应在</w:t>
      </w:r>
      <w:r>
        <w:rPr>
          <w:rFonts w:hint="eastAsia" w:asciiTheme="minorEastAsia" w:hAnsiTheme="minorEastAsia" w:eastAsiaTheme="minorEastAsia" w:cstheme="minorEastAsia"/>
          <w:spacing w:val="0"/>
          <w:position w:val="0"/>
          <w:sz w:val="24"/>
          <w:szCs w:val="24"/>
          <w:highlight w:val="none"/>
          <w:lang w:val="en-US" w:eastAsia="zh-CN"/>
        </w:rPr>
        <w:t>投标截止</w:t>
      </w:r>
      <w:r>
        <w:rPr>
          <w:rFonts w:hint="eastAsia" w:asciiTheme="minorEastAsia" w:hAnsiTheme="minorEastAsia" w:eastAsiaTheme="minorEastAsia" w:cstheme="minorEastAsia"/>
          <w:spacing w:val="0"/>
          <w:position w:val="0"/>
          <w:sz w:val="24"/>
          <w:szCs w:val="24"/>
          <w:highlight w:val="none"/>
        </w:rPr>
        <w:t>时间</w:t>
      </w:r>
      <w:r>
        <w:rPr>
          <w:rFonts w:hint="eastAsia" w:asciiTheme="minorEastAsia" w:hAnsiTheme="minorEastAsia" w:eastAsiaTheme="minorEastAsia" w:cstheme="minorEastAsia"/>
          <w:spacing w:val="0"/>
          <w:position w:val="0"/>
          <w:sz w:val="24"/>
          <w:szCs w:val="24"/>
          <w:highlight w:val="none"/>
          <w:lang w:val="en-US" w:eastAsia="zh-CN"/>
        </w:rPr>
        <w:t>十</w:t>
      </w:r>
      <w:r>
        <w:rPr>
          <w:rFonts w:hint="eastAsia" w:asciiTheme="minorEastAsia" w:hAnsiTheme="minorEastAsia" w:eastAsiaTheme="minorEastAsia" w:cstheme="minorEastAsia"/>
          <w:spacing w:val="0"/>
          <w:position w:val="0"/>
          <w:sz w:val="24"/>
          <w:szCs w:val="24"/>
          <w:highlight w:val="none"/>
        </w:rPr>
        <w:t>日前通过以电子文件形式并加盖电子签章（指：从淮安市公共资源交易网首页点击“交易平台”→“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－医用设备”登录，从“采购业务－网上提问”模块提出澄清）通知</w:t>
      </w:r>
      <w:r>
        <w:rPr>
          <w:rFonts w:hint="eastAsia" w:asciiTheme="minorEastAsia" w:hAnsiTheme="minorEastAsia" w:eastAsiaTheme="minorEastAsia" w:cstheme="minorEastAsia"/>
          <w:spacing w:val="0"/>
          <w:position w:val="0"/>
          <w:sz w:val="24"/>
          <w:szCs w:val="24"/>
          <w:highlight w:val="none"/>
          <w:lang w:val="en-US" w:eastAsia="zh-CN"/>
        </w:rPr>
        <w:t>采购</w:t>
      </w:r>
      <w:r>
        <w:rPr>
          <w:rFonts w:hint="eastAsia" w:asciiTheme="minorEastAsia" w:hAnsiTheme="minorEastAsia" w:eastAsiaTheme="minorEastAsia" w:cstheme="minorEastAsia"/>
          <w:spacing w:val="0"/>
          <w:position w:val="0"/>
          <w:sz w:val="24"/>
          <w:szCs w:val="24"/>
          <w:highlight w:val="none"/>
        </w:rPr>
        <w:t>代理机构，采购代理机构对投标截止时间前十日收到的任何澄清要求将通过电子交易平台以电子文件形式予以答复。</w:t>
      </w:r>
    </w:p>
    <w:p w14:paraId="64588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的更正或补充</w:t>
      </w:r>
    </w:p>
    <w:p w14:paraId="3EF152D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.1 在投标截止时间十五日前，采购代理机构可主动或在解答投标人提出的澄清问题时对招标文件用更正公告的方式进行修正。</w:t>
      </w:r>
    </w:p>
    <w:p w14:paraId="71BD4B6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7.2</w:t>
      </w:r>
      <w:r>
        <w:rPr>
          <w:rFonts w:hint="eastAsia" w:asciiTheme="minorEastAsia" w:hAnsiTheme="minorEastAsia" w:eastAsiaTheme="minorEastAsia" w:cstheme="minorEastAsia"/>
          <w:spacing w:val="0"/>
          <w:position w:val="0"/>
          <w:sz w:val="24"/>
          <w:szCs w:val="24"/>
          <w:highlight w:val="none"/>
        </w:rPr>
        <w:t xml:space="preserve"> 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val="en-US" w:eastAsia="zh-CN"/>
        </w:rPr>
        <w:t>更正</w:t>
      </w:r>
      <w:r>
        <w:rPr>
          <w:rFonts w:hint="eastAsia" w:asciiTheme="minorEastAsia" w:hAnsiTheme="minorEastAsia" w:eastAsiaTheme="minorEastAsia" w:cstheme="minorEastAsia"/>
          <w:spacing w:val="0"/>
          <w:position w:val="0"/>
          <w:sz w:val="24"/>
          <w:szCs w:val="24"/>
          <w:highlight w:val="none"/>
        </w:rPr>
        <w:t>将</w:t>
      </w:r>
      <w:r>
        <w:rPr>
          <w:rFonts w:hint="eastAsia" w:asciiTheme="minorEastAsia" w:hAnsiTheme="minorEastAsia" w:eastAsiaTheme="minorEastAsia" w:cstheme="minorEastAsia"/>
          <w:spacing w:val="0"/>
          <w:position w:val="0"/>
          <w:sz w:val="24"/>
          <w:szCs w:val="24"/>
          <w:highlight w:val="none"/>
          <w:lang w:val="en-US" w:eastAsia="zh-CN"/>
        </w:rPr>
        <w:t>在</w:t>
      </w:r>
      <w:r>
        <w:rPr>
          <w:rFonts w:hint="eastAsia" w:asciiTheme="minorEastAsia" w:hAnsiTheme="minorEastAsia" w:eastAsiaTheme="minorEastAsia" w:cstheme="minorEastAsia"/>
          <w:b/>
          <w:bCs/>
          <w:spacing w:val="0"/>
          <w:position w:val="0"/>
          <w:sz w:val="24"/>
          <w:szCs w:val="24"/>
          <w:highlight w:val="none"/>
        </w:rPr>
        <w:t>淮安市公共资源交易网</w:t>
      </w:r>
      <w:r>
        <w:rPr>
          <w:rFonts w:hint="eastAsia" w:asciiTheme="minorEastAsia" w:hAnsiTheme="minorEastAsia" w:eastAsiaTheme="minorEastAsia" w:cstheme="minorEastAsia"/>
          <w:spacing w:val="0"/>
          <w:position w:val="0"/>
          <w:sz w:val="24"/>
          <w:szCs w:val="24"/>
          <w:highlight w:val="none"/>
        </w:rPr>
        <w:t>进行公告。同时通过电子交易平台通知所有已获取</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rPr>
        <w:t>【请报名参加本项目的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随时关注系统内信息，由于</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未及时关注最新项目信息动态的，其后果和责任由</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自行承担】。</w:t>
      </w:r>
      <w:r>
        <w:rPr>
          <w:rFonts w:hint="eastAsia" w:asciiTheme="minorEastAsia" w:hAnsiTheme="minorEastAsia" w:eastAsiaTheme="minorEastAsia" w:cstheme="minorEastAsia"/>
          <w:spacing w:val="0"/>
          <w:position w:val="0"/>
          <w:sz w:val="24"/>
          <w:szCs w:val="24"/>
          <w:highlight w:val="none"/>
        </w:rPr>
        <w:t>更正公告将作为</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的组成部分，对所有参加本次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都具有约束力。</w:t>
      </w:r>
    </w:p>
    <w:p w14:paraId="2234AC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 xml:space="preserve"> 为使</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有足够的时间按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的更正要求修正</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，采购人有权按照相关法定的要求推迟</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递交截止时间和</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日期。</w:t>
      </w:r>
    </w:p>
    <w:p w14:paraId="6C710B2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6" w:name="_Toc30783"/>
      <w:r>
        <w:rPr>
          <w:rFonts w:hint="eastAsia" w:asciiTheme="minorEastAsia" w:hAnsiTheme="minorEastAsia" w:eastAsiaTheme="minorEastAsia" w:cstheme="minorEastAsia"/>
          <w:b/>
          <w:bCs/>
          <w:spacing w:val="0"/>
          <w:position w:val="0"/>
          <w:sz w:val="24"/>
          <w:szCs w:val="24"/>
          <w:highlight w:val="none"/>
        </w:rPr>
        <w:t>三、</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的编制</w:t>
      </w:r>
      <w:bookmarkEnd w:id="16"/>
    </w:p>
    <w:p w14:paraId="26CA9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8.投标文件的编制</w:t>
      </w:r>
    </w:p>
    <w:p w14:paraId="6A8704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8.1 投标人编制的投标文件应按招标文件第六章“投标文件”中的要求编制。</w:t>
      </w:r>
    </w:p>
    <w:p w14:paraId="5224866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9.开标一览表</w:t>
      </w:r>
    </w:p>
    <w:p w14:paraId="42A69AE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9.1 投标人必须按照招标文件中提供的开标一览表的规定格式完整、清晰、正确填写，不得自行增减内容。</w:t>
      </w:r>
    </w:p>
    <w:p w14:paraId="594C159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9.2 开标一览表中不得填报有选择性报价方案，表中内容应与投标文件中的内容完全一致，如不一致的，以开标一览表内容为准。</w:t>
      </w:r>
    </w:p>
    <w:p w14:paraId="6C953C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.投标报价</w:t>
      </w:r>
    </w:p>
    <w:p w14:paraId="66DF4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10.1 本项目采用总承包方式，投标人的报价应包含</w:t>
      </w:r>
      <w:r>
        <w:rPr>
          <w:rFonts w:hint="eastAsia" w:asciiTheme="minorEastAsia" w:hAnsiTheme="minorEastAsia" w:eastAsiaTheme="minorEastAsia" w:cstheme="minorEastAsia"/>
          <w:spacing w:val="0"/>
          <w:position w:val="0"/>
          <w:sz w:val="24"/>
          <w:szCs w:val="24"/>
          <w:highlight w:val="none"/>
          <w:lang w:eastAsia="zh-CN"/>
        </w:rPr>
        <w:t>但不限于</w:t>
      </w:r>
      <w:r>
        <w:rPr>
          <w:rFonts w:hint="eastAsia" w:asciiTheme="minorEastAsia" w:hAnsiTheme="minorEastAsia" w:eastAsiaTheme="minorEastAsia" w:cstheme="minorEastAsia"/>
          <w:spacing w:val="0"/>
          <w:position w:val="0"/>
          <w:sz w:val="24"/>
          <w:szCs w:val="24"/>
          <w:highlight w:val="none"/>
        </w:rPr>
        <w:t>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如是）</w:t>
      </w:r>
      <w:r>
        <w:rPr>
          <w:rFonts w:hint="eastAsia" w:asciiTheme="minorEastAsia" w:hAnsiTheme="minorEastAsia" w:eastAsiaTheme="minorEastAsia" w:cstheme="minorEastAsia"/>
          <w:spacing w:val="0"/>
          <w:position w:val="0"/>
          <w:sz w:val="24"/>
          <w:szCs w:val="24"/>
          <w:highlight w:val="none"/>
        </w:rPr>
        <w:t>、运输、免税等手续所产生的费用。</w:t>
      </w:r>
    </w:p>
    <w:p w14:paraId="106731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10.2 投标人的任何错漏、优惠、竞争性报价不得作为减轻责任、减少服务、增加收费、降低质量的理由。</w:t>
      </w:r>
    </w:p>
    <w:p w14:paraId="2A1603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10.3 采购人或采购代理机构不接受备选的投标方案或有选择的报价。</w:t>
      </w:r>
    </w:p>
    <w:p w14:paraId="3F125B15">
      <w:pPr>
        <w:keepNext w:val="0"/>
        <w:keepLines w:val="0"/>
        <w:pageBreakBefore w:val="0"/>
        <w:widowControl w:val="0"/>
        <w:shd w:val="clear"/>
        <w:kinsoku/>
        <w:wordWrap/>
        <w:overflowPunct/>
        <w:topLinePunct w:val="0"/>
        <w:autoSpaceDE/>
        <w:autoSpaceDN/>
        <w:bidi w:val="0"/>
        <w:adjustRightInd w:val="0"/>
        <w:snapToGrid w:val="0"/>
        <w:spacing w:line="480" w:lineRule="exact"/>
        <w:ind w:left="479" w:leftChars="228" w:right="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10.4 投标报价应以人民币为货币单位。</w:t>
      </w:r>
      <w:r>
        <w:rPr>
          <w:rFonts w:hint="eastAsia" w:asciiTheme="minorEastAsia" w:hAnsiTheme="minorEastAsia" w:eastAsiaTheme="minorEastAsia" w:cstheme="minorEastAsia"/>
          <w:spacing w:val="0"/>
          <w:position w:val="0"/>
          <w:sz w:val="24"/>
          <w:szCs w:val="24"/>
          <w:highlight w:val="none"/>
        </w:rPr>
        <w:br w:type="textWrapping"/>
      </w:r>
      <w:r>
        <w:rPr>
          <w:rFonts w:hint="eastAsia" w:asciiTheme="minorEastAsia" w:hAnsiTheme="minorEastAsia" w:eastAsiaTheme="minorEastAsia" w:cstheme="minorEastAsia"/>
          <w:spacing w:val="0"/>
          <w:position w:val="0"/>
          <w:sz w:val="24"/>
          <w:szCs w:val="24"/>
          <w:highlight w:val="none"/>
          <w:lang w:val="en-US" w:eastAsia="zh-CN"/>
        </w:rPr>
        <w:t>10.5</w:t>
      </w:r>
      <w:r>
        <w:rPr>
          <w:rFonts w:hint="eastAsia" w:asciiTheme="minorEastAsia" w:hAnsiTheme="minorEastAsia" w:eastAsiaTheme="minorEastAsia" w:cstheme="minorEastAsia"/>
          <w:spacing w:val="0"/>
          <w:position w:val="0"/>
          <w:sz w:val="24"/>
          <w:szCs w:val="24"/>
          <w:highlight w:val="none"/>
          <w:lang w:eastAsia="zh-CN"/>
        </w:rPr>
        <w:t>异常低价处理</w:t>
      </w:r>
    </w:p>
    <w:p w14:paraId="076CC8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（一）评审过程中出现下列情形之一的，评审委员会应当启动异常低价投标（响应）审查程序：</w:t>
      </w:r>
    </w:p>
    <w:p w14:paraId="255006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①投标（响应）报价低于全部通过符合性审查供应商投标（响应）报价平均值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5EBFAEB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②投标（响应）报价低于通过符合性审查的次低报价供应商投标（响应）报价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0A1289C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③投标（响应）报价低于采购项目最高限价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w:t>
      </w:r>
    </w:p>
    <w:p w14:paraId="7A591D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④评审委员会基于专业判断，认为供应商报价过低，有可能影响产品质量或者不能诚信履约的其他情形。</w:t>
      </w:r>
    </w:p>
    <w:p w14:paraId="75423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default" w:asciiTheme="minorEastAsia" w:hAnsiTheme="minorEastAsia" w:eastAsiaTheme="minorEastAsia" w:cstheme="minorEastAsia"/>
          <w:spacing w:val="0"/>
          <w:position w:val="0"/>
          <w:sz w:val="24"/>
          <w:szCs w:val="24"/>
          <w:highlight w:val="none"/>
          <w:lang w:val="en-US" w:eastAsia="zh-CN"/>
        </w:rPr>
      </w:pPr>
    </w:p>
    <w:p w14:paraId="321DC2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.技术要求响应偏离</w:t>
      </w:r>
    </w:p>
    <w:p w14:paraId="407345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lang w:val="en-US" w:eastAsia="zh-CN"/>
        </w:rPr>
        <w:t>应</w:t>
      </w:r>
      <w:r>
        <w:rPr>
          <w:rFonts w:hint="eastAsia" w:asciiTheme="minorEastAsia" w:hAnsiTheme="minorEastAsia" w:eastAsiaTheme="minorEastAsia" w:cstheme="minorEastAsia"/>
          <w:spacing w:val="0"/>
          <w:position w:val="0"/>
          <w:sz w:val="24"/>
          <w:szCs w:val="24"/>
          <w:highlight w:val="none"/>
        </w:rPr>
        <w:t>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中的技术要求逐项作出响应或偏离，否则该投标将被拒绝。</w:t>
      </w:r>
    </w:p>
    <w:p w14:paraId="478F72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spacing w:val="0"/>
          <w:position w:val="0"/>
          <w:sz w:val="24"/>
          <w:szCs w:val="24"/>
          <w:highlight w:val="none"/>
        </w:rPr>
        <w:t>.服务承诺</w:t>
      </w:r>
    </w:p>
    <w:p w14:paraId="0D605B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rPr>
        <w:t>.1 投标人的服务承诺不能低于招标文件中对于服务的要求。</w:t>
      </w:r>
    </w:p>
    <w:p w14:paraId="5FC81D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保证金</w:t>
      </w:r>
    </w:p>
    <w:p w14:paraId="694C9A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本项目不收取</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保证金。</w:t>
      </w:r>
    </w:p>
    <w:p w14:paraId="1F0C69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14.方案部分（如果本项目涉及的话）</w:t>
      </w:r>
    </w:p>
    <w:p w14:paraId="43B58F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14.1 本项目评标标准中的方案部分是否采用暗标方式进行评审：</w:t>
      </w:r>
    </w:p>
    <w:p w14:paraId="42B0E0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不采用 □采用</w:t>
      </w:r>
    </w:p>
    <w:p w14:paraId="473CA2D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w:t>
      </w:r>
      <w:r>
        <w:rPr>
          <w:rFonts w:hint="eastAsia" w:asciiTheme="minorEastAsia" w:hAnsiTheme="minorEastAsia" w:eastAsiaTheme="minorEastAsia" w:cstheme="minorEastAsia"/>
          <w:b/>
          <w:bCs/>
          <w:spacing w:val="0"/>
          <w:position w:val="0"/>
          <w:sz w:val="24"/>
          <w:szCs w:val="24"/>
          <w:highlight w:val="none"/>
        </w:rPr>
        <w:t>有效期</w:t>
      </w:r>
    </w:p>
    <w:p w14:paraId="76C8B8B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有效期为从</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之日起计算的</w:t>
      </w:r>
      <w:r>
        <w:rPr>
          <w:rFonts w:hint="eastAsia" w:asciiTheme="minorEastAsia" w:hAnsiTheme="minorEastAsia" w:eastAsiaTheme="minorEastAsia" w:cstheme="minorEastAsia"/>
          <w:spacing w:val="0"/>
          <w:position w:val="0"/>
          <w:sz w:val="24"/>
          <w:szCs w:val="24"/>
          <w:highlight w:val="none"/>
          <w:lang w:val="en-US" w:eastAsia="zh-CN"/>
        </w:rPr>
        <w:t>九十</w:t>
      </w:r>
      <w:r>
        <w:rPr>
          <w:rFonts w:hint="eastAsia" w:asciiTheme="minorEastAsia" w:hAnsiTheme="minorEastAsia" w:eastAsiaTheme="minorEastAsia" w:cstheme="minorEastAsia"/>
          <w:spacing w:val="0"/>
          <w:position w:val="0"/>
          <w:sz w:val="24"/>
          <w:szCs w:val="24"/>
          <w:highlight w:val="none"/>
        </w:rPr>
        <w:t>天，</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w:t>
      </w:r>
      <w:r>
        <w:rPr>
          <w:rFonts w:hint="eastAsia" w:asciiTheme="minorEastAsia" w:hAnsiTheme="minorEastAsia" w:eastAsiaTheme="minorEastAsia" w:cstheme="minorEastAsia"/>
          <w:spacing w:val="0"/>
          <w:position w:val="0"/>
          <w:sz w:val="24"/>
          <w:szCs w:val="24"/>
          <w:highlight w:val="none"/>
          <w:lang w:val="en-US" w:eastAsia="zh-CN"/>
        </w:rPr>
        <w:t>比</w:t>
      </w:r>
      <w:r>
        <w:rPr>
          <w:rFonts w:hint="eastAsia" w:asciiTheme="minorEastAsia" w:hAnsiTheme="minorEastAsia" w:eastAsiaTheme="minorEastAsia" w:cstheme="minorEastAsia"/>
          <w:spacing w:val="0"/>
          <w:position w:val="0"/>
          <w:sz w:val="24"/>
          <w:szCs w:val="24"/>
          <w:highlight w:val="none"/>
        </w:rPr>
        <w:t>规定</w:t>
      </w:r>
      <w:r>
        <w:rPr>
          <w:rFonts w:hint="eastAsia" w:asciiTheme="minorEastAsia" w:hAnsiTheme="minorEastAsia" w:eastAsiaTheme="minorEastAsia" w:cstheme="minorEastAsia"/>
          <w:spacing w:val="0"/>
          <w:position w:val="0"/>
          <w:sz w:val="24"/>
          <w:szCs w:val="24"/>
          <w:highlight w:val="none"/>
          <w:lang w:val="en-US" w:eastAsia="zh-CN"/>
        </w:rPr>
        <w:t>短</w:t>
      </w:r>
      <w:r>
        <w:rPr>
          <w:rFonts w:hint="eastAsia" w:asciiTheme="minorEastAsia" w:hAnsiTheme="minorEastAsia" w:eastAsiaTheme="minorEastAsia" w:cstheme="minorEastAsia"/>
          <w:spacing w:val="0"/>
          <w:position w:val="0"/>
          <w:sz w:val="24"/>
          <w:szCs w:val="24"/>
          <w:highlight w:val="none"/>
        </w:rPr>
        <w:t>的将被视为非响应</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而予以拒绝。</w:t>
      </w:r>
    </w:p>
    <w:p w14:paraId="53E248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.2 在特殊情况下，采购人或采购代理机构于原</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有效期满之前，可向</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提出延长</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有效期的要求，这种要求与答复均应采用书面形式。</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可以拒绝接受这</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rPr>
        <w:t>要求而放弃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。同意延长的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既不能要求也不允许修改其</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，同时受</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有效期约束的所有权利与义务均延长至新的有效期。</w:t>
      </w:r>
    </w:p>
    <w:p w14:paraId="1599F4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的签署</w:t>
      </w:r>
    </w:p>
    <w:p w14:paraId="02DF0A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仅需要在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进行签章的位置应进行电子签章。电子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不得涂改、行间插字或删除，如果出现上述情况应重新编制。</w:t>
      </w:r>
    </w:p>
    <w:p w14:paraId="78805F1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17" w:name="_Toc6594"/>
      <w:r>
        <w:rPr>
          <w:rFonts w:hint="eastAsia" w:asciiTheme="minorEastAsia" w:hAnsiTheme="minorEastAsia" w:eastAsiaTheme="minorEastAsia" w:cstheme="minorEastAsia"/>
          <w:b/>
          <w:bCs/>
          <w:spacing w:val="0"/>
          <w:position w:val="0"/>
          <w:sz w:val="24"/>
          <w:szCs w:val="24"/>
          <w:highlight w:val="none"/>
        </w:rPr>
        <w:t>四、</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上传</w:t>
      </w:r>
      <w:bookmarkEnd w:id="17"/>
    </w:p>
    <w:p w14:paraId="76FC98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的上传</w:t>
      </w:r>
    </w:p>
    <w:p w14:paraId="0D68C4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制作工具中生成加密电子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后即可将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上传至淮安市公共资源全程电子化交易平台。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应在</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规定的</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提交截止时间前完成网上电子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的上传。</w:t>
      </w:r>
    </w:p>
    <w:p w14:paraId="22713F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内容不清楚或不清晰的（含扫描件），造成无法评审或部分影响评审的，责任由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p>
    <w:p w14:paraId="15C6F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的时间不得迟于</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中规定的截止时间。</w:t>
      </w:r>
    </w:p>
    <w:p w14:paraId="2CED64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.4 采购人或代理机构可以按第</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条规定，通过修改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有权酌情延长</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接收截止时间。在此情况下，</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的所有权利和义务以及</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受制约的截止日期均应以延长后新的截止日期为准。</w:t>
      </w:r>
    </w:p>
    <w:p w14:paraId="21A457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w:t>
      </w:r>
      <w:r>
        <w:rPr>
          <w:rFonts w:hint="eastAsia" w:asciiTheme="minorEastAsia" w:hAnsiTheme="minorEastAsia" w:eastAsiaTheme="minorEastAsia" w:cstheme="minorEastAsia"/>
          <w:b w:val="0"/>
          <w:bCs w:val="0"/>
          <w:spacing w:val="0"/>
          <w:position w:val="0"/>
          <w:sz w:val="24"/>
          <w:szCs w:val="24"/>
          <w:highlight w:val="none"/>
          <w:lang w:val="en-US" w:eastAsia="zh-CN"/>
        </w:rPr>
        <w:t>7</w:t>
      </w:r>
      <w:r>
        <w:rPr>
          <w:rFonts w:hint="eastAsia" w:asciiTheme="minorEastAsia" w:hAnsiTheme="minorEastAsia" w:eastAsiaTheme="minorEastAsia" w:cstheme="minorEastAsia"/>
          <w:b w:val="0"/>
          <w:bCs w:val="0"/>
          <w:spacing w:val="0"/>
          <w:position w:val="0"/>
          <w:sz w:val="24"/>
          <w:szCs w:val="24"/>
          <w:highlight w:val="none"/>
        </w:rPr>
        <w:t xml:space="preserve">.5 </w:t>
      </w:r>
      <w:r>
        <w:rPr>
          <w:rFonts w:hint="eastAsia" w:asciiTheme="minorEastAsia" w:hAnsiTheme="minorEastAsia" w:eastAsiaTheme="minorEastAsia" w:cstheme="minorEastAsia"/>
          <w:b w:val="0"/>
          <w:bCs w:val="0"/>
          <w:spacing w:val="0"/>
          <w:position w:val="0"/>
          <w:sz w:val="24"/>
          <w:szCs w:val="24"/>
          <w:highlight w:val="none"/>
          <w:lang w:val="en-US" w:eastAsia="zh-CN"/>
        </w:rPr>
        <w:t>中标投标人</w:t>
      </w:r>
      <w:r>
        <w:rPr>
          <w:rFonts w:hint="eastAsia" w:asciiTheme="minorEastAsia" w:hAnsiTheme="minorEastAsia" w:eastAsiaTheme="minorEastAsia" w:cstheme="minorEastAsia"/>
          <w:b w:val="0"/>
          <w:bCs w:val="0"/>
          <w:spacing w:val="0"/>
          <w:position w:val="0"/>
          <w:sz w:val="24"/>
          <w:szCs w:val="24"/>
          <w:highlight w:val="none"/>
        </w:rPr>
        <w:t>在</w:t>
      </w:r>
      <w:r>
        <w:rPr>
          <w:rFonts w:hint="eastAsia" w:asciiTheme="minorEastAsia" w:hAnsiTheme="minorEastAsia" w:eastAsiaTheme="minorEastAsia" w:cstheme="minorEastAsia"/>
          <w:b w:val="0"/>
          <w:bCs w:val="0"/>
          <w:spacing w:val="0"/>
          <w:position w:val="0"/>
          <w:sz w:val="24"/>
          <w:szCs w:val="24"/>
          <w:highlight w:val="none"/>
          <w:lang w:val="en-US" w:eastAsia="zh-CN"/>
        </w:rPr>
        <w:t>中标</w:t>
      </w:r>
      <w:r>
        <w:rPr>
          <w:rFonts w:hint="eastAsia" w:asciiTheme="minorEastAsia" w:hAnsiTheme="minorEastAsia" w:eastAsiaTheme="minorEastAsia" w:cstheme="minorEastAsia"/>
          <w:b w:val="0"/>
          <w:bCs w:val="0"/>
          <w:spacing w:val="0"/>
          <w:position w:val="0"/>
          <w:sz w:val="24"/>
          <w:szCs w:val="24"/>
          <w:highlight w:val="none"/>
        </w:rPr>
        <w:t>通知书发出之前，必须提供</w:t>
      </w:r>
      <w:r>
        <w:rPr>
          <w:rFonts w:hint="eastAsia" w:asciiTheme="minorEastAsia" w:hAnsiTheme="minorEastAsia" w:eastAsiaTheme="minorEastAsia" w:cstheme="minorEastAsia"/>
          <w:b/>
          <w:bCs/>
          <w:spacing w:val="0"/>
          <w:position w:val="0"/>
          <w:sz w:val="24"/>
          <w:szCs w:val="24"/>
          <w:highlight w:val="none"/>
        </w:rPr>
        <w:t>肆份</w:t>
      </w:r>
      <w:r>
        <w:rPr>
          <w:rFonts w:hint="eastAsia" w:asciiTheme="minorEastAsia" w:hAnsiTheme="minorEastAsia" w:eastAsiaTheme="minorEastAsia" w:cstheme="minorEastAsia"/>
          <w:b w:val="0"/>
          <w:bCs w:val="0"/>
          <w:spacing w:val="0"/>
          <w:position w:val="0"/>
          <w:sz w:val="24"/>
          <w:szCs w:val="24"/>
          <w:highlight w:val="none"/>
        </w:rPr>
        <w:t>与电子</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一致的纸质</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必须采用胶装方式装订成册（A4 纸幅，图表页可折叠），装订应牢固、不易拆散和换页，不得采用活页装订。</w:t>
      </w:r>
    </w:p>
    <w:p w14:paraId="545265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18</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被拒绝接收的情形</w:t>
      </w:r>
    </w:p>
    <w:p w14:paraId="4F6E5DB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18</w:t>
      </w:r>
      <w:r>
        <w:rPr>
          <w:rFonts w:hint="eastAsia" w:asciiTheme="minorEastAsia" w:hAnsiTheme="minorEastAsia" w:eastAsiaTheme="minorEastAsia" w:cstheme="minorEastAsia"/>
          <w:spacing w:val="0"/>
          <w:position w:val="0"/>
          <w:sz w:val="24"/>
          <w:szCs w:val="24"/>
          <w:highlight w:val="none"/>
        </w:rPr>
        <w:t>.1 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截止时间后上传的电子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0F9C9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19</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的修改和撤回</w:t>
      </w:r>
    </w:p>
    <w:p w14:paraId="14A898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后可以对其修改或撤回，但这种修改和撤回，必须在规定的</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时间之前。</w:t>
      </w:r>
    </w:p>
    <w:p w14:paraId="12CA02A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.2 对于电子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的修改，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时间前登录电子交易平台撤回电子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，并上传新的电子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以最终完成上传的为准。</w:t>
      </w:r>
    </w:p>
    <w:p w14:paraId="14F02A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时间以后修改电子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526B7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不得在提交电子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截止时间起至</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有效期满前撤回电子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3468FCA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val="en-US" w:eastAsia="zh-CN"/>
        </w:rPr>
      </w:pPr>
      <w:bookmarkStart w:id="18" w:name="_Toc6169"/>
      <w:r>
        <w:rPr>
          <w:rFonts w:hint="eastAsia" w:asciiTheme="minorEastAsia" w:hAnsiTheme="minorEastAsia" w:eastAsiaTheme="minorEastAsia" w:cstheme="minorEastAsia"/>
          <w:b/>
          <w:bCs/>
          <w:spacing w:val="0"/>
          <w:position w:val="0"/>
          <w:sz w:val="24"/>
          <w:szCs w:val="24"/>
          <w:highlight w:val="none"/>
        </w:rPr>
        <w:t>五、</w:t>
      </w:r>
      <w:r>
        <w:rPr>
          <w:rFonts w:hint="eastAsia" w:asciiTheme="minorEastAsia" w:hAnsiTheme="minorEastAsia" w:eastAsiaTheme="minorEastAsia" w:cstheme="minorEastAsia"/>
          <w:b/>
          <w:bCs/>
          <w:spacing w:val="0"/>
          <w:position w:val="0"/>
          <w:sz w:val="24"/>
          <w:szCs w:val="24"/>
          <w:highlight w:val="none"/>
          <w:lang w:val="en-US" w:eastAsia="zh-CN"/>
        </w:rPr>
        <w:t>开标及评标</w:t>
      </w:r>
      <w:bookmarkEnd w:id="18"/>
    </w:p>
    <w:p w14:paraId="4767235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开标</w:t>
      </w:r>
    </w:p>
    <w:p w14:paraId="67FA6E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采购代理机构将按照</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中的要求组织本项目的“不见面交易”活动。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仅需在任意地点通过登录淮安市政府采购“全流程不见面交易系统”开标大厅观看项目的活动组织。</w:t>
      </w:r>
    </w:p>
    <w:p w14:paraId="246456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不见面</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程序：主持人按下列程序组织</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w:t>
      </w:r>
    </w:p>
    <w:p w14:paraId="1FE5D3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公布</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的会议纪律；</w:t>
      </w:r>
    </w:p>
    <w:p w14:paraId="5E6F182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w:t>
      </w:r>
    </w:p>
    <w:p w14:paraId="331FE5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在线承诺；</w:t>
      </w:r>
    </w:p>
    <w:p w14:paraId="0F50C6F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、采购人对电子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w:t>
      </w:r>
    </w:p>
    <w:p w14:paraId="28F7AD4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.2.5 导入电子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A3D60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.2.6 网上公布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lang w:val="en-US" w:eastAsia="zh-CN"/>
        </w:rPr>
        <w:t>报价</w:t>
      </w:r>
      <w:r>
        <w:rPr>
          <w:rFonts w:hint="eastAsia" w:asciiTheme="minorEastAsia" w:hAnsiTheme="minorEastAsia" w:eastAsiaTheme="minorEastAsia" w:cstheme="minorEastAsia"/>
          <w:spacing w:val="0"/>
          <w:position w:val="0"/>
          <w:sz w:val="24"/>
          <w:szCs w:val="24"/>
          <w:highlight w:val="none"/>
        </w:rPr>
        <w:t>；</w:t>
      </w:r>
    </w:p>
    <w:p w14:paraId="59E5EA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.2.7 投标人对其投标报价电子签章确认（投标人在规定时间内未电子签章确认的，视同其默认投标报价）；</w:t>
      </w:r>
    </w:p>
    <w:p w14:paraId="063A41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.2.8 </w:t>
      </w:r>
      <w:r>
        <w:rPr>
          <w:rFonts w:hint="eastAsia" w:asciiTheme="minorEastAsia" w:hAnsiTheme="minorEastAsia" w:eastAsiaTheme="minorEastAsia" w:cstheme="minorEastAsia"/>
          <w:spacing w:val="0"/>
          <w:position w:val="0"/>
          <w:sz w:val="24"/>
          <w:szCs w:val="24"/>
          <w:highlight w:val="none"/>
          <w:lang w:val="en-US" w:eastAsia="zh-CN"/>
        </w:rPr>
        <w:t>开标结束。</w:t>
      </w:r>
    </w:p>
    <w:p w14:paraId="6C9F382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开标一览表内容与投标报价表内容不一致的，一律以开标一览表内容为准。</w:t>
      </w:r>
    </w:p>
    <w:p w14:paraId="6F3935E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20.4 投标截止时间结束后参加投标的投标人不足三家情况的，除采购任务取消情形外，按财政部令第 87 号第四十三条条款进行处理。</w:t>
      </w:r>
    </w:p>
    <w:p w14:paraId="1B9ABD3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 全流程不见面交易采购说明</w:t>
      </w:r>
    </w:p>
    <w:p w14:paraId="61969D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.1 由于淮安市政府采购“阳光采购一网通”全周期系统不见面开标大厅自身原因导致项目不能正常进行的，项目作废标处理。</w:t>
      </w:r>
    </w:p>
    <w:p w14:paraId="6F67DC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.2 本项目中的时间均以国家授时中心发布的时间为准。</w:t>
      </w:r>
    </w:p>
    <w:p w14:paraId="43A5BF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.3 本项目的下载文件、上传</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均通过互联网操作，请</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充分考虑网络拥堵及平台操作所需时间等因素。因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自身原因导致操作失败的，其责任自负。</w:t>
      </w:r>
    </w:p>
    <w:p w14:paraId="3A6C879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.4 本项目</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的编制使用“新点投标文件制作软件（淮安公共资源版）”。</w:t>
      </w:r>
      <w:r>
        <w:rPr>
          <w:rFonts w:hint="eastAsia" w:asciiTheme="minorEastAsia" w:hAnsiTheme="minorEastAsia" w:eastAsiaTheme="minorEastAsia" w:cstheme="minorEastAsia"/>
          <w:spacing w:val="0"/>
          <w:position w:val="0"/>
          <w:sz w:val="24"/>
          <w:szCs w:val="24"/>
          <w:highlight w:val="none"/>
          <w:lang w:eastAsia="zh-CN"/>
        </w:rPr>
        <w:t>投标人投标文件</w:t>
      </w:r>
      <w:r>
        <w:rPr>
          <w:rFonts w:hint="eastAsia" w:asciiTheme="minorEastAsia" w:hAnsiTheme="minorEastAsia" w:eastAsiaTheme="minorEastAsia" w:cstheme="minorEastAsia"/>
          <w:spacing w:val="0"/>
          <w:position w:val="0"/>
          <w:sz w:val="24"/>
          <w:szCs w:val="24"/>
          <w:highlight w:val="none"/>
        </w:rPr>
        <w:t>的编制和上传，应按照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的规定进行。如未按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要求编制、上传电子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，将可能作无效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，其后果由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如对正确使用“投标文件制作软件”有疑问的，请与软件公司技术人员联系。</w:t>
      </w:r>
    </w:p>
    <w:p w14:paraId="7BF6DD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.5“全流程不见面交易”活动当日，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不必抵达现场，仅需在任意地点通过登录淮安市政府采购“阳光采购一网通”全周期系统不见面开标大厅观看项目的活动组织。为保障</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权益以及避免围标串标的情况，</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必须插CA锁登录系统。具体操作详见操作手册（可在淮安市公共资源交易网、淮安市政府采购网下载）。</w:t>
      </w:r>
    </w:p>
    <w:p w14:paraId="1CE5CE2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b/>
          <w:bCs/>
          <w:spacing w:val="0"/>
          <w:position w:val="0"/>
          <w:sz w:val="24"/>
          <w:szCs w:val="24"/>
          <w:highlight w:val="none"/>
        </w:rPr>
        <w:t>电子投标文件上传截止时间前</w:t>
      </w:r>
      <w:r>
        <w:rPr>
          <w:rFonts w:hint="eastAsia" w:asciiTheme="minorEastAsia" w:hAnsiTheme="minorEastAsia" w:eastAsiaTheme="minorEastAsia" w:cstheme="minorEastAsia"/>
          <w:spacing w:val="0"/>
          <w:position w:val="0"/>
          <w:sz w:val="24"/>
          <w:szCs w:val="24"/>
          <w:highlight w:val="none"/>
        </w:rPr>
        <w:t>，各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将无法看到解密指令、废标及澄清、公布报价、评审结果等实时情况，并承担由此导致的一切后果。</w:t>
      </w:r>
    </w:p>
    <w:p w14:paraId="4D869F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.7 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上传截止时间后，</w:t>
      </w:r>
      <w:r>
        <w:rPr>
          <w:rFonts w:hint="eastAsia" w:asciiTheme="minorEastAsia" w:hAnsiTheme="minorEastAsia" w:eastAsiaTheme="minorEastAsia" w:cstheme="minorEastAsia"/>
          <w:spacing w:val="0"/>
          <w:position w:val="0"/>
          <w:sz w:val="24"/>
          <w:szCs w:val="24"/>
          <w:highlight w:val="none"/>
          <w:lang w:val="en-US" w:eastAsia="zh-CN"/>
        </w:rPr>
        <w:t>采购中心</w:t>
      </w:r>
      <w:r>
        <w:rPr>
          <w:rFonts w:hint="eastAsia" w:asciiTheme="minorEastAsia" w:hAnsiTheme="minorEastAsia" w:eastAsiaTheme="minorEastAsia" w:cstheme="minorEastAsia"/>
          <w:spacing w:val="0"/>
          <w:position w:val="0"/>
          <w:sz w:val="24"/>
          <w:szCs w:val="24"/>
          <w:highlight w:val="none"/>
        </w:rPr>
        <w:t>将在系统内公布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名单，然后通过大厅操作区发出</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解密的指令，</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在各自地点按规定时间自行实施远程解密，</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解密限定在主持人发布解密指令后 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 分钟内完成。因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网络与电源不稳定、未按操作手册要求配置软硬件、解密锁发生故障或用错、故意不在要求时限内完成解密等自身原因，导致</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在规定时间内未能解密、解密失败或解密超时，作无效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处理。因“阳光采购一网通”全周期系统不见面开标大厅发生故障，导致无法按时完成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解密，可根据实际情况相应延迟解密时间（友情提示：若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已领取副锁（含多把副锁），必须使用生成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的锁来解密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）。本项目在限定的解密时间内，只要有任一家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解密成功，即视为淮安市政府采购“阳光采购一网通全周期系统不见面开标大厅”运行无故障。</w:t>
      </w:r>
    </w:p>
    <w:p w14:paraId="352337A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8</w:t>
      </w:r>
      <w:r>
        <w:rPr>
          <w:rFonts w:hint="eastAsia" w:asciiTheme="minorEastAsia" w:hAnsiTheme="minorEastAsia" w:eastAsiaTheme="minorEastAsia" w:cstheme="minorEastAsia"/>
          <w:spacing w:val="0"/>
          <w:position w:val="0"/>
          <w:sz w:val="24"/>
          <w:szCs w:val="24"/>
          <w:highlight w:val="none"/>
        </w:rPr>
        <w:t xml:space="preserve"> 演示环节</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如果本项目涉及的话</w:t>
      </w:r>
      <w:r>
        <w:rPr>
          <w:rFonts w:hint="eastAsia" w:asciiTheme="minorEastAsia" w:hAnsiTheme="minorEastAsia" w:eastAsiaTheme="minorEastAsia" w:cstheme="minorEastAsia"/>
          <w:b/>
          <w:bCs/>
          <w:spacing w:val="0"/>
          <w:position w:val="0"/>
          <w:sz w:val="24"/>
          <w:szCs w:val="24"/>
          <w:highlight w:val="none"/>
        </w:rPr>
        <w:t>）</w:t>
      </w:r>
    </w:p>
    <w:p w14:paraId="01D716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本项目的评审内容有演示环节的，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需以录制视频的形式进行演示。视频文件格式需为不超过 50M 的 MP4 文件格式，视频上传地址在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制作工具（淮安市公共资源版）的“视频演示”节点中进行选择。本项目在评审过程中，只要有任一家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演示文件能够正常播放，即视为淮安市政府采购“阳光采购一网通”全周期系统演示功能运行无故障。</w:t>
      </w:r>
    </w:p>
    <w:p w14:paraId="655F966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0.5.9</w:t>
      </w:r>
      <w:r>
        <w:rPr>
          <w:rFonts w:hint="eastAsia" w:asciiTheme="minorEastAsia" w:hAnsiTheme="minorEastAsia" w:eastAsiaTheme="minorEastAsia" w:cstheme="minorEastAsia"/>
          <w:spacing w:val="0"/>
          <w:position w:val="0"/>
          <w:sz w:val="24"/>
          <w:szCs w:val="24"/>
          <w:highlight w:val="none"/>
        </w:rPr>
        <w:t xml:space="preserve"> 答辩环节（如果本项目涉及的话）</w:t>
      </w:r>
    </w:p>
    <w:p w14:paraId="4C9C898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本项目的评审内容有答辩环节的，由评委现场出题，题目将通过评审系统发送给所有有效</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。“阳光采购一网通”全周期系统不见面开标大厅将实时对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进行提醒，</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在收到提醒后，</w:t>
      </w:r>
      <w:r>
        <w:rPr>
          <w:rFonts w:hint="eastAsia" w:asciiTheme="minorEastAsia" w:hAnsiTheme="minorEastAsia" w:eastAsiaTheme="minorEastAsia" w:cstheme="minorEastAsia"/>
          <w:spacing w:val="0"/>
          <w:position w:val="0"/>
          <w:sz w:val="24"/>
          <w:szCs w:val="24"/>
          <w:highlight w:val="none"/>
          <w:lang w:val="en-US" w:eastAsia="zh-CN"/>
        </w:rPr>
        <w:t>需</w:t>
      </w:r>
      <w:r>
        <w:rPr>
          <w:rFonts w:hint="eastAsia" w:asciiTheme="minorEastAsia" w:hAnsiTheme="minorEastAsia" w:eastAsiaTheme="minorEastAsia" w:cstheme="minorEastAsia"/>
          <w:spacing w:val="0"/>
          <w:position w:val="0"/>
          <w:sz w:val="24"/>
          <w:szCs w:val="24"/>
          <w:highlight w:val="none"/>
        </w:rPr>
        <w:t>到会员系统中，对《答辩承诺书》签章后方可进行答辩，在填写完答辩内容后需点击“生成”按钮，生成内容为PDF格式，最后将答辩内容提交至评审系统，未在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规定的时限内提交答辩的视为未答辩。本项目在评审过程中，只要有任一家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能够正常答辩，即视为淮安市政府采购“阳光采购一网通”全周期系统答辩功能运行无故障。</w:t>
      </w:r>
    </w:p>
    <w:p w14:paraId="3882C37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0.5.10</w:t>
      </w:r>
      <w:r>
        <w:rPr>
          <w:rFonts w:hint="eastAsia" w:asciiTheme="minorEastAsia" w:hAnsiTheme="minorEastAsia" w:eastAsiaTheme="minorEastAsia" w:cstheme="minorEastAsia"/>
          <w:spacing w:val="0"/>
          <w:position w:val="0"/>
          <w:sz w:val="24"/>
          <w:szCs w:val="24"/>
          <w:highlight w:val="none"/>
        </w:rPr>
        <w:t xml:space="preserve"> 活动全过程中，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参与澄清、说明、补正、远程交互的授权委托人或法人代表应始终为同一个人，中途不得更换，在澄清、说明、补正、异议提出等特殊情况下需要交互时，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一端参与交互的人员将均被视为是</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不得以不承认交互人员的资格或身份等为借口抵赖推脱，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自行承担随意更换人员所导致的一切后果。</w:t>
      </w:r>
    </w:p>
    <w:p w14:paraId="26481BE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0.5.11</w:t>
      </w:r>
      <w:r>
        <w:rPr>
          <w:rFonts w:hint="eastAsia" w:asciiTheme="minorEastAsia" w:hAnsiTheme="minorEastAsia" w:eastAsiaTheme="minorEastAsia" w:cstheme="minorEastAsia"/>
          <w:spacing w:val="0"/>
          <w:position w:val="0"/>
          <w:sz w:val="24"/>
          <w:szCs w:val="24"/>
          <w:highlight w:val="none"/>
        </w:rPr>
        <w:t xml:space="preserve"> 为顺利实现本项目不见面交易活动组织的远程交互，建议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配置相关软硬件设施，具体包括：</w:t>
      </w:r>
    </w:p>
    <w:p w14:paraId="27C34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（1）软件设施：IE 浏览器（版本必须为 11 及 11 以上），同时必须安装江苏省互联互通的驱动。不得使用360、搜狗等其他浏览器，否则责任自负。</w:t>
      </w:r>
    </w:p>
    <w:p w14:paraId="02450C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（2）硬件设施：高配置电脑（内存4G以上，建议屏幕分辨率</w:t>
      </w:r>
      <w:r>
        <w:rPr>
          <w:rFonts w:hint="eastAsia" w:asciiTheme="minorEastAsia" w:hAnsiTheme="minorEastAsia" w:eastAsiaTheme="minorEastAsia" w:cstheme="minorEastAsia"/>
          <w:spacing w:val="0"/>
          <w:position w:val="0"/>
          <w:sz w:val="24"/>
          <w:szCs w:val="24"/>
          <w:highlight w:val="none"/>
          <w:lang w:eastAsia="zh-CN"/>
        </w:rPr>
        <w:t>为</w:t>
      </w:r>
      <w:r>
        <w:rPr>
          <w:rFonts w:hint="eastAsia" w:asciiTheme="minorEastAsia" w:hAnsiTheme="minorEastAsia" w:eastAsiaTheme="minorEastAsia" w:cstheme="minorEastAsia"/>
          <w:spacing w:val="0"/>
          <w:position w:val="0"/>
          <w:sz w:val="24"/>
          <w:szCs w:val="24"/>
          <w:highlight w:val="none"/>
        </w:rPr>
        <w:t>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（3）为保证交互效果，要求</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按上述要求配置相关软硬件并选择封闭安静的地点参与远程交互。因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自身软硬件配备不齐全或发生故障等问题而导致在交互过程中出现不稳定或中断等情况的，由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自身承担一切后果。</w:t>
      </w:r>
    </w:p>
    <w:p w14:paraId="198538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fldChar w:fldCharType="begin"/>
      </w:r>
      <w:r>
        <w:rPr>
          <w:rFonts w:hint="eastAsia" w:asciiTheme="minorEastAsia" w:hAnsiTheme="minorEastAsia" w:eastAsiaTheme="minorEastAsia" w:cstheme="minorEastAsia"/>
          <w:spacing w:val="0"/>
          <w:position w:val="0"/>
          <w:sz w:val="24"/>
          <w:szCs w:val="24"/>
          <w:highlight w:val="none"/>
        </w:rPr>
        <w:instrText xml:space="preserve"> HYPERLINK "22.4.1.13" </w:instrText>
      </w:r>
      <w:r>
        <w:rPr>
          <w:rFonts w:hint="eastAsia" w:asciiTheme="minorEastAsia" w:hAnsiTheme="minorEastAsia" w:eastAsiaTheme="minorEastAsia" w:cstheme="minorEastAsia"/>
          <w:spacing w:val="0"/>
          <w:position w:val="0"/>
          <w:sz w:val="24"/>
          <w:szCs w:val="24"/>
          <w:highlight w:val="none"/>
        </w:rPr>
        <w:fldChar w:fldCharType="separate"/>
      </w: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fldChar w:fldCharType="end"/>
      </w:r>
      <w:r>
        <w:rPr>
          <w:rFonts w:hint="eastAsia" w:asciiTheme="minorEastAsia" w:hAnsiTheme="minorEastAsia" w:eastAsiaTheme="minorEastAsia" w:cstheme="minorEastAsia"/>
          <w:spacing w:val="0"/>
          <w:position w:val="0"/>
          <w:sz w:val="24"/>
          <w:szCs w:val="24"/>
          <w:highlight w:val="none"/>
          <w:lang w:val="en-US" w:eastAsia="zh-CN"/>
        </w:rPr>
        <w:t>.5.12</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在制作上传电子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、观看活动组织、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解密等技术方面遇到问题时，请与软件公司技术人员咨询，联系电话：手机：18962289236、13770370470。</w:t>
      </w:r>
    </w:p>
    <w:p w14:paraId="18AA70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评标</w:t>
      </w:r>
    </w:p>
    <w:p w14:paraId="2C51A8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 评标组织</w:t>
      </w:r>
    </w:p>
    <w:p w14:paraId="29CF0E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21.1.1 评标工作由采购代理机构负责组织，具体评标事务由依法组建的评标委员会负责，并独立履行下列职责：</w:t>
      </w:r>
    </w:p>
    <w:p w14:paraId="7111D5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（1）审查、评价投标文件是否符合招标文件的商务、技术等实质性要求；</w:t>
      </w:r>
    </w:p>
    <w:p w14:paraId="44E896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（2）要求投标人对投标文件有关事项作出澄清或者说明；</w:t>
      </w:r>
    </w:p>
    <w:p w14:paraId="1B60422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（3）对投标文件进行比较和评价；</w:t>
      </w:r>
    </w:p>
    <w:p w14:paraId="2C148F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（4）确定中标候选人名单，根据采购人委托协议直接确定中标人；</w:t>
      </w:r>
    </w:p>
    <w:p w14:paraId="31E567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（5）向采购人、监管部门报告评标中发现的违法行为。</w:t>
      </w:r>
    </w:p>
    <w:p w14:paraId="5AB19B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21.1.2 评标委员会由采购人代表和有关技术、经济等方面的专家组成，独立开展评审工作。</w:t>
      </w:r>
    </w:p>
    <w:p w14:paraId="4416F23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 评标程序</w:t>
      </w:r>
    </w:p>
    <w:p w14:paraId="0D0A1CB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 投标人资格审查</w:t>
      </w:r>
    </w:p>
    <w:p w14:paraId="5BF5340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21.2.1.1 开标结束后，采购人或采购代理机构依法根据招标文件的规定对投标人的资格进行审查。</w:t>
      </w:r>
    </w:p>
    <w:p w14:paraId="30F585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21.2.1.2 资格审查：依据法律法规和招标文件的规定，对投标文件中的资格证明文件进行审查，以确定投标人是否具备投标资格。</w:t>
      </w:r>
    </w:p>
    <w:p w14:paraId="44F6838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21.2.1.3 投标文件有下列情况之一的，在资格性审查时按照无效投标处理：</w:t>
      </w:r>
    </w:p>
    <w:p w14:paraId="42FBF0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（1）不具备招标文件中规定的资格要求的；</w:t>
      </w:r>
    </w:p>
    <w:p w14:paraId="3F0806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（2）投标人被“信用中国”网站、“中国政府采购网”列入失信被执行人、重大税收违法案件当事人名单、政府采购严重违法失信行为记录名单。</w:t>
      </w:r>
    </w:p>
    <w:p w14:paraId="785D73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 投标文件符合性审查</w:t>
      </w:r>
    </w:p>
    <w:p w14:paraId="166D5B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21.2.2.1 评委会将依据法律法规和招标文件的规定，对投标文件的有效性、完整性和对招标文件的响应程度进行审查，以确定是否对招标文件的实质性要求作出响应。</w:t>
      </w:r>
    </w:p>
    <w:p w14:paraId="0CE229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21.2.2.2 实质性要求是指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的投标人的竞争地位产生不公正的影响。重大负偏离的认定必须经评审小组三分之二以上同意。</w:t>
      </w:r>
    </w:p>
    <w:p w14:paraId="39956E7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21.2.2.3 如果投标文件实质上没有响应招标文件的要求，评委会将予以拒绝，投标人不得通过修改或撤销</w:t>
      </w:r>
      <w:r>
        <w:rPr>
          <w:rFonts w:hint="eastAsia" w:asciiTheme="minorEastAsia" w:hAnsiTheme="minorEastAsia" w:eastAsiaTheme="minorEastAsia" w:cstheme="minorEastAsia"/>
          <w:spacing w:val="0"/>
          <w:position w:val="0"/>
          <w:sz w:val="24"/>
          <w:szCs w:val="24"/>
          <w:highlight w:val="none"/>
          <w:lang w:eastAsia="zh-CN"/>
        </w:rPr>
        <w:t>不符</w:t>
      </w:r>
      <w:r>
        <w:rPr>
          <w:rFonts w:hint="eastAsia" w:asciiTheme="minorEastAsia" w:hAnsiTheme="minorEastAsia" w:eastAsiaTheme="minorEastAsia" w:cstheme="minorEastAsia"/>
          <w:spacing w:val="0"/>
          <w:position w:val="0"/>
          <w:sz w:val="24"/>
          <w:szCs w:val="24"/>
          <w:highlight w:val="none"/>
        </w:rPr>
        <w:t>合要求的偏离或保留而使其投标成为实质性响应的投标。</w:t>
      </w:r>
    </w:p>
    <w:p w14:paraId="761461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21.2.2.4 评委会将对确定为实质性响应的投标进行进一步审核，看其是否有计算上或累加上的算术错误，修正错误的原则如下：</w:t>
      </w:r>
    </w:p>
    <w:p w14:paraId="0CEEC8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（1）投标文件中开标一览表内容与投标文件中相应内容不一致的，以开标一览表为准；</w:t>
      </w:r>
    </w:p>
    <w:p w14:paraId="472D99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（2）大写金额和小写金额不一致的，以大写金额为准；</w:t>
      </w:r>
    </w:p>
    <w:p w14:paraId="0357B6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（3）单价金额小数点或者百分比有明显错位的，以开标一览表的总价为准，并修改单价；</w:t>
      </w:r>
    </w:p>
    <w:p w14:paraId="7CF801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（4）总价金额与按单价汇总金额不一致的，以单价金额计算结果为准。</w:t>
      </w:r>
    </w:p>
    <w:p w14:paraId="3E3BDF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同时出现两种以上错误的，按照前款规定的顺序修正。</w:t>
      </w:r>
    </w:p>
    <w:p w14:paraId="06240BA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评委会将按上述修正错误的方法调整投标文件中的投标报价，调整后的价格应对投标人具有约束力。如果投标人不同意修正的，其投标无效。</w:t>
      </w:r>
    </w:p>
    <w:p w14:paraId="720628F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21.2.3.投标文件的澄清</w:t>
      </w:r>
    </w:p>
    <w:p w14:paraId="2717E2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pacing w:val="0"/>
          <w:position w:val="0"/>
          <w:sz w:val="24"/>
          <w:szCs w:val="24"/>
          <w:highlight w:val="none"/>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pacing w:val="0"/>
          <w:position w:val="0"/>
          <w:sz w:val="24"/>
          <w:szCs w:val="24"/>
          <w:highlight w:val="none"/>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21.2.3.3接到评委会澄清要求的投标人如未按第2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.2.3.2条的规定作出澄清，将视为放弃该权利。</w:t>
      </w:r>
    </w:p>
    <w:p w14:paraId="27F488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非单一产品采购项目，招标文件中将载明其中的核心产品。多家投标人提供的核心产品品牌相同的，按前两款规定处理。</w:t>
      </w:r>
    </w:p>
    <w:p w14:paraId="7748C1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21.2.5 投标文件有下列情况之一的，在</w:t>
      </w:r>
      <w:r>
        <w:rPr>
          <w:rFonts w:hint="eastAsia" w:asciiTheme="minorEastAsia" w:hAnsiTheme="minorEastAsia" w:eastAsiaTheme="minorEastAsia" w:cstheme="minorEastAsia"/>
          <w:b/>
          <w:bCs/>
          <w:spacing w:val="0"/>
          <w:position w:val="0"/>
          <w:sz w:val="24"/>
          <w:szCs w:val="24"/>
          <w:highlight w:val="none"/>
        </w:rPr>
        <w:t>符合性审查</w:t>
      </w:r>
      <w:r>
        <w:rPr>
          <w:rFonts w:hint="eastAsia" w:asciiTheme="minorEastAsia" w:hAnsiTheme="minorEastAsia" w:eastAsiaTheme="minorEastAsia" w:cstheme="minorEastAsia"/>
          <w:spacing w:val="0"/>
          <w:position w:val="0"/>
          <w:sz w:val="24"/>
          <w:szCs w:val="24"/>
          <w:highlight w:val="none"/>
        </w:rPr>
        <w:t>时按照无效投标处理：</w:t>
      </w:r>
    </w:p>
    <w:p w14:paraId="029A0D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（1）未按照招标文件规定要求进行电子签字、电子签章的；</w:t>
      </w:r>
    </w:p>
    <w:p w14:paraId="63C09B8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（2）已上传电子投标文件但因投标人原因未在规定时间前进行系统签到的；</w:t>
      </w:r>
    </w:p>
    <w:p w14:paraId="550D2FC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（3）投标人在开标时未在规定时间内进行承诺并电子签章的；</w:t>
      </w:r>
    </w:p>
    <w:p w14:paraId="3D8ABB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（5）投标总价超出招标文件规定的预算金额或者最高限价的；</w:t>
      </w:r>
    </w:p>
    <w:p w14:paraId="0DF894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（6）不同投标人的投标文件由同一单位或者个人编制；</w:t>
      </w:r>
    </w:p>
    <w:p w14:paraId="1906AC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（7）不同投标人委托同一单位或者个人办理投标事宜；</w:t>
      </w:r>
    </w:p>
    <w:p w14:paraId="291597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（8）不同投标人的投标文件载明的项目管理成员或者联系人员为同一人；</w:t>
      </w:r>
    </w:p>
    <w:p w14:paraId="56B78A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（9）不同投标人的投标文件异常一致或者投标报价呈规律性差异；</w:t>
      </w:r>
    </w:p>
    <w:p w14:paraId="0BF147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（10）投标文件含有采购人不能接受的附加条件的；</w:t>
      </w:r>
    </w:p>
    <w:p w14:paraId="61E355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（12）不符合法律法规和招标文件规定的其他无效情形；</w:t>
      </w:r>
    </w:p>
    <w:p w14:paraId="7237CA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（13）未按照</w:t>
      </w:r>
      <w:r>
        <w:rPr>
          <w:rFonts w:hint="eastAsia" w:asciiTheme="minorEastAsia" w:hAnsiTheme="minorEastAsia" w:eastAsiaTheme="minorEastAsia" w:cstheme="minorEastAsia"/>
          <w:b/>
          <w:bCs/>
          <w:spacing w:val="0"/>
          <w:position w:val="0"/>
          <w:sz w:val="24"/>
          <w:szCs w:val="24"/>
          <w:highlight w:val="none"/>
        </w:rPr>
        <w:t>“采购需求”中要求提供承诺的</w:t>
      </w:r>
      <w:r>
        <w:rPr>
          <w:rFonts w:hint="eastAsia" w:asciiTheme="minorEastAsia" w:hAnsiTheme="minorEastAsia" w:eastAsiaTheme="minorEastAsia" w:cstheme="minorEastAsia"/>
          <w:spacing w:val="0"/>
          <w:position w:val="0"/>
          <w:sz w:val="24"/>
          <w:szCs w:val="24"/>
          <w:highlight w:val="none"/>
        </w:rPr>
        <w:t>。</w:t>
      </w:r>
    </w:p>
    <w:p w14:paraId="6D5459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21.2.6 在评标期间，出现符合专业条件的投标人或者对招标文件作出实质性响应的投标人不足三家情形的，比照 </w:t>
      </w:r>
      <w:r>
        <w:rPr>
          <w:rFonts w:hint="eastAsia" w:asciiTheme="minorEastAsia" w:hAnsiTheme="minorEastAsia" w:eastAsiaTheme="minorEastAsia" w:cstheme="minorEastAsia"/>
          <w:spacing w:val="0"/>
          <w:position w:val="0"/>
          <w:sz w:val="24"/>
          <w:szCs w:val="24"/>
          <w:highlight w:val="none"/>
          <w:lang w:val="en-US" w:eastAsia="zh-CN"/>
        </w:rPr>
        <w:t>20</w:t>
      </w:r>
      <w:r>
        <w:rPr>
          <w:rFonts w:hint="eastAsia" w:asciiTheme="minorEastAsia" w:hAnsiTheme="minorEastAsia" w:eastAsiaTheme="minorEastAsia" w:cstheme="minorEastAsia"/>
          <w:spacing w:val="0"/>
          <w:position w:val="0"/>
          <w:sz w:val="24"/>
          <w:szCs w:val="24"/>
          <w:highlight w:val="none"/>
        </w:rPr>
        <w:t>.4 款执行。</w:t>
      </w:r>
    </w:p>
    <w:p w14:paraId="414934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21.2.7</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r>
        <w:rPr>
          <w:rFonts w:hint="eastAsia" w:asciiTheme="minorEastAsia" w:hAnsiTheme="minorEastAsia" w:eastAsiaTheme="minorEastAsia" w:cstheme="minorEastAsia"/>
          <w:b/>
          <w:bCs/>
          <w:spacing w:val="0"/>
          <w:position w:val="0"/>
          <w:sz w:val="24"/>
          <w:szCs w:val="24"/>
          <w:highlight w:val="none"/>
        </w:rPr>
        <w:t>有下列情形之一的予以废标，同时将废标理由通知所有投标人：</w:t>
      </w:r>
    </w:p>
    <w:p w14:paraId="334564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（1）符合专业条件的投标人或者对招标文件作实质性响应的投标人不足三家的；</w:t>
      </w:r>
    </w:p>
    <w:p w14:paraId="10678E1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（2）出现影响采购公正的违法、违规行为的；</w:t>
      </w:r>
    </w:p>
    <w:p w14:paraId="7DCF2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（3）投标人的报价均超过了采购预算或最高限价的，采购人不能支付的；</w:t>
      </w:r>
    </w:p>
    <w:p w14:paraId="183287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（4）因重大变故，采购任务取消的；</w:t>
      </w:r>
    </w:p>
    <w:p w14:paraId="1B0F7DA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（5）招标文件存在歧义、重大缺陷，或者招标文件内容违反国家有关强制性规定的；</w:t>
      </w:r>
    </w:p>
    <w:p w14:paraId="4BD32C5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（6）投标文件含糊不清楚、同类问题表述不清楚、不一致或者明显文字错误较多的。</w:t>
      </w:r>
    </w:p>
    <w:p w14:paraId="070F85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22.评审及中标</w:t>
      </w:r>
    </w:p>
    <w:p w14:paraId="7FAEC3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22.1 评委会将对通过资格性审查和符合性审查的投标文件进行评价和比较。</w:t>
      </w:r>
    </w:p>
    <w:p w14:paraId="62532F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22.2 评委会按招标文件第三章中公布的评标标准对每份合格投标文件进行评审，确定中标投标人，任何单项因素的最优不能作为中标的保证。</w:t>
      </w:r>
    </w:p>
    <w:p w14:paraId="477899D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23.评标过程的保密</w:t>
      </w:r>
    </w:p>
    <w:p w14:paraId="72693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23.1 在宣布中标结果之前，凡属于审查、澄清、评价、比较投标文件和中标意向等有关信息，相关当事人均不得泄露给任何投标人或与评审工作无关的人员。</w:t>
      </w:r>
    </w:p>
    <w:p w14:paraId="76C4F73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23.2 采购人或采购代理机构和评审委员会不向未中标的投标人解释未中标原因，也不公布评审过程中的相关细节。</w:t>
      </w:r>
    </w:p>
    <w:p w14:paraId="13FC9D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23.3 评标委员会名单在开标前确定，并在招标结果确定前保密。</w:t>
      </w:r>
    </w:p>
    <w:p w14:paraId="59A671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9" w:name="_Toc26467"/>
      <w:r>
        <w:rPr>
          <w:rFonts w:hint="eastAsia" w:asciiTheme="minorEastAsia" w:hAnsiTheme="minorEastAsia" w:eastAsiaTheme="minorEastAsia" w:cstheme="minorEastAsia"/>
          <w:b/>
          <w:bCs/>
          <w:spacing w:val="0"/>
          <w:position w:val="0"/>
          <w:sz w:val="24"/>
          <w:szCs w:val="24"/>
          <w:highlight w:val="none"/>
        </w:rPr>
        <w:t>六、</w:t>
      </w:r>
      <w:r>
        <w:rPr>
          <w:rFonts w:hint="eastAsia" w:asciiTheme="minorEastAsia" w:hAnsiTheme="minorEastAsia" w:eastAsiaTheme="minorEastAsia" w:cstheme="minorEastAsia"/>
          <w:b/>
          <w:bCs/>
          <w:spacing w:val="0"/>
          <w:position w:val="0"/>
          <w:sz w:val="24"/>
          <w:szCs w:val="24"/>
          <w:highlight w:val="none"/>
          <w:lang w:val="en-US" w:eastAsia="zh-CN"/>
        </w:rPr>
        <w:t>定标</w:t>
      </w:r>
      <w:r>
        <w:rPr>
          <w:rFonts w:hint="eastAsia" w:asciiTheme="minorEastAsia" w:hAnsiTheme="minorEastAsia" w:eastAsiaTheme="minorEastAsia" w:cstheme="minorEastAsia"/>
          <w:b/>
          <w:bCs/>
          <w:spacing w:val="0"/>
          <w:position w:val="0"/>
          <w:sz w:val="24"/>
          <w:szCs w:val="24"/>
          <w:highlight w:val="none"/>
        </w:rPr>
        <w:t>及签订合同</w:t>
      </w:r>
      <w:bookmarkEnd w:id="19"/>
    </w:p>
    <w:p w14:paraId="2B223E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.确定</w:t>
      </w:r>
      <w:r>
        <w:rPr>
          <w:rFonts w:hint="eastAsia" w:asciiTheme="minorEastAsia" w:hAnsiTheme="minorEastAsia" w:eastAsiaTheme="minorEastAsia" w:cstheme="minorEastAsia"/>
          <w:b/>
          <w:bCs/>
          <w:spacing w:val="0"/>
          <w:position w:val="0"/>
          <w:sz w:val="24"/>
          <w:szCs w:val="24"/>
          <w:highlight w:val="none"/>
          <w:lang w:val="en-US" w:eastAsia="zh-CN"/>
        </w:rPr>
        <w:t>中</w:t>
      </w:r>
      <w:r>
        <w:rPr>
          <w:rFonts w:hint="eastAsia" w:asciiTheme="minorEastAsia" w:hAnsiTheme="minorEastAsia" w:eastAsiaTheme="minorEastAsia" w:cstheme="minorEastAsia"/>
          <w:b/>
          <w:bCs/>
          <w:spacing w:val="0"/>
          <w:position w:val="0"/>
          <w:sz w:val="24"/>
          <w:szCs w:val="24"/>
          <w:highlight w:val="none"/>
          <w:lang w:eastAsia="zh-CN"/>
        </w:rPr>
        <w:t>标人</w:t>
      </w:r>
    </w:p>
    <w:p w14:paraId="53F821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.1 评委会根据招标文件中规定的评标标准对投标人进行综合评审，最终按综合评审得分由高到低的顺序推荐出中标候选人。</w:t>
      </w:r>
    </w:p>
    <w:p w14:paraId="34DEBE6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24.2 采购人应根据评委会推荐的中标候选人确认中标人。</w:t>
      </w:r>
    </w:p>
    <w:p w14:paraId="714547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24.3 采购人或采购代理机构将在淮安市公共资源交易网发布中标公告，公告期限为 1 个工作日。</w:t>
      </w:r>
    </w:p>
    <w:p w14:paraId="64FBB7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24.4 中标人在合同签订前，如经查实从参加该中标项目之日起计算所参加的政府采购活动前三年内，在经营活动中有行贿犯罪记录的，采购人将取消其中标资格。</w:t>
      </w:r>
    </w:p>
    <w:p w14:paraId="1FC9AA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中标</w:t>
      </w:r>
      <w:r>
        <w:rPr>
          <w:rFonts w:hint="eastAsia" w:asciiTheme="minorEastAsia" w:hAnsiTheme="minorEastAsia" w:eastAsiaTheme="minorEastAsia" w:cstheme="minorEastAsia"/>
          <w:b/>
          <w:bCs/>
          <w:spacing w:val="0"/>
          <w:position w:val="0"/>
          <w:sz w:val="24"/>
          <w:szCs w:val="24"/>
          <w:highlight w:val="none"/>
        </w:rPr>
        <w:t>通知书</w:t>
      </w:r>
    </w:p>
    <w:p w14:paraId="7E5DDE2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25.1 中标结果公示结束且在无疑义情况下，采购人或采购代理机构将通知中标人。</w:t>
      </w:r>
    </w:p>
    <w:p w14:paraId="2B72EB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25.2 中标人在接到采购代理机构通知后五个工作日内必须到采购人或采购代理机构指定地点领取中标通知书并办理相关交费手续。逾期未办理作自动放弃处理。</w:t>
      </w:r>
    </w:p>
    <w:p w14:paraId="17D78C6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25.3 中标通知书将是合同的一个组成部分。</w:t>
      </w:r>
    </w:p>
    <w:p w14:paraId="00BE7F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26</w:t>
      </w:r>
      <w:r>
        <w:rPr>
          <w:rFonts w:hint="eastAsia" w:asciiTheme="minorEastAsia" w:hAnsiTheme="minorEastAsia" w:eastAsiaTheme="minorEastAsia" w:cstheme="minorEastAsia"/>
          <w:b/>
          <w:bCs/>
          <w:spacing w:val="0"/>
          <w:position w:val="0"/>
          <w:sz w:val="24"/>
          <w:szCs w:val="24"/>
          <w:highlight w:val="none"/>
        </w:rPr>
        <w:t>.签订合同</w:t>
      </w:r>
    </w:p>
    <w:p w14:paraId="1E8A89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26</w:t>
      </w:r>
      <w:r>
        <w:rPr>
          <w:rFonts w:hint="eastAsia" w:asciiTheme="minorEastAsia" w:hAnsiTheme="minorEastAsia" w:eastAsiaTheme="minorEastAsia" w:cstheme="minorEastAsia"/>
          <w:spacing w:val="0"/>
          <w:position w:val="0"/>
          <w:sz w:val="24"/>
          <w:szCs w:val="24"/>
          <w:highlight w:val="none"/>
        </w:rPr>
        <w:t>.1 采购人与中标人应在中标通知书发出之日起十五日内签订政府采购合同。招标文件、中标人的投标文件及澄清文件等均为签订合同依据。</w:t>
      </w:r>
    </w:p>
    <w:p w14:paraId="79C559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26.2 中标人自中标通知书发出之日起十五日内无正当理由不与采购人签订合同的，将按财政部第 87 号令相关规定进行处理。</w:t>
      </w:r>
    </w:p>
    <w:p w14:paraId="1B39BCA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27</w:t>
      </w:r>
      <w:r>
        <w:rPr>
          <w:rFonts w:hint="eastAsia" w:asciiTheme="minorEastAsia" w:hAnsiTheme="minorEastAsia" w:eastAsiaTheme="minorEastAsia" w:cstheme="minorEastAsia"/>
          <w:b/>
          <w:bCs/>
          <w:spacing w:val="0"/>
          <w:position w:val="0"/>
          <w:sz w:val="24"/>
          <w:szCs w:val="24"/>
          <w:highlight w:val="none"/>
        </w:rPr>
        <w:t>.货物和服务的减少</w:t>
      </w:r>
    </w:p>
    <w:p w14:paraId="77EC0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27</w:t>
      </w:r>
      <w:r>
        <w:rPr>
          <w:rFonts w:hint="eastAsia" w:asciiTheme="minorEastAsia" w:hAnsiTheme="minorEastAsia" w:eastAsiaTheme="minorEastAsia" w:cstheme="minorEastAsia"/>
          <w:spacing w:val="0"/>
          <w:position w:val="0"/>
          <w:sz w:val="24"/>
          <w:szCs w:val="24"/>
          <w:highlight w:val="none"/>
        </w:rPr>
        <w:t>.1 采购结束后，采购人若由于各种客观原因，必须对采购项目所牵涉的货物和服务进行适当的减少时，在双方协商一致的前提下，可以按照</w:t>
      </w:r>
      <w:r>
        <w:rPr>
          <w:rFonts w:hint="eastAsia" w:asciiTheme="minorEastAsia" w:hAnsiTheme="minorEastAsia" w:eastAsiaTheme="minorEastAsia" w:cstheme="minorEastAsia"/>
          <w:spacing w:val="0"/>
          <w:position w:val="0"/>
          <w:sz w:val="24"/>
          <w:szCs w:val="24"/>
          <w:highlight w:val="none"/>
          <w:lang w:val="en-US" w:eastAsia="zh-CN"/>
        </w:rPr>
        <w:t>招标</w:t>
      </w:r>
      <w:r>
        <w:rPr>
          <w:rFonts w:hint="eastAsia" w:asciiTheme="minorEastAsia" w:hAnsiTheme="minorEastAsia" w:eastAsiaTheme="minorEastAsia" w:cstheme="minorEastAsia"/>
          <w:spacing w:val="0"/>
          <w:position w:val="0"/>
          <w:sz w:val="24"/>
          <w:szCs w:val="24"/>
          <w:highlight w:val="none"/>
        </w:rPr>
        <w:t>采购时的价格水平做相应的调减，并据此签订补充合同。</w:t>
      </w:r>
    </w:p>
    <w:p w14:paraId="3E61BF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28</w:t>
      </w:r>
      <w:r>
        <w:rPr>
          <w:rFonts w:hint="eastAsia" w:asciiTheme="minorEastAsia" w:hAnsiTheme="minorEastAsia" w:eastAsiaTheme="minorEastAsia" w:cstheme="minorEastAsia"/>
          <w:b/>
          <w:bCs/>
          <w:spacing w:val="0"/>
          <w:position w:val="0"/>
          <w:sz w:val="24"/>
          <w:szCs w:val="24"/>
          <w:highlight w:val="none"/>
        </w:rPr>
        <w:t>.履约保证金</w:t>
      </w:r>
    </w:p>
    <w:p w14:paraId="11368B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28.1 本项目不收取履约保证金</w:t>
      </w:r>
    </w:p>
    <w:p w14:paraId="7523C7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28.2 如果中标人没有按照 26 条或 27 条的规定去做，采购人可报监管部门取消其中标资格，在此情况下采购人可将标授予下一个中标候选人，或重新招标。</w:t>
      </w:r>
    </w:p>
    <w:p w14:paraId="01BD1EA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20" w:name="_Toc453"/>
      <w:r>
        <w:rPr>
          <w:rFonts w:hint="eastAsia" w:asciiTheme="minorEastAsia" w:hAnsiTheme="minorEastAsia" w:eastAsiaTheme="minorEastAsia" w:cstheme="minorEastAsia"/>
          <w:b/>
          <w:bCs/>
          <w:spacing w:val="0"/>
          <w:position w:val="0"/>
          <w:sz w:val="24"/>
          <w:szCs w:val="24"/>
          <w:highlight w:val="none"/>
        </w:rPr>
        <w:t>七、质疑处理</w:t>
      </w:r>
      <w:bookmarkEnd w:id="20"/>
    </w:p>
    <w:p w14:paraId="145651B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29</w:t>
      </w:r>
      <w:r>
        <w:rPr>
          <w:rFonts w:hint="eastAsia" w:asciiTheme="minorEastAsia" w:hAnsiTheme="minorEastAsia" w:eastAsiaTheme="minorEastAsia" w:cstheme="minorEastAsia"/>
          <w:b/>
          <w:bCs/>
          <w:spacing w:val="0"/>
          <w:position w:val="0"/>
          <w:sz w:val="24"/>
          <w:szCs w:val="24"/>
          <w:highlight w:val="none"/>
        </w:rPr>
        <w:t>.质疑处理</w:t>
      </w:r>
    </w:p>
    <w:p w14:paraId="4B325CA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29.2 上述应知其权益受到损害之日是指：</w:t>
      </w:r>
    </w:p>
    <w:p w14:paraId="75BF41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（1）对招标文件提出质疑的，为采购文件公告期限届满之日起计算；</w:t>
      </w:r>
    </w:p>
    <w:p w14:paraId="5EEC599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（2）对采购过程提出质疑的，为各采购程序环节结束之日起计算；</w:t>
      </w:r>
    </w:p>
    <w:p w14:paraId="74582D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（3）对中标结果提出质疑的，为中标结果公告期限届满之日起计算。</w:t>
      </w:r>
    </w:p>
    <w:p w14:paraId="2F85F8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29.3 质疑投标人是指直接参加本次投标活动的投标人，未参加投标活动的投标人或在投标活动中自身权益未受到损害的投标人所提出的质疑不予受理。</w:t>
      </w:r>
    </w:p>
    <w:p w14:paraId="0870FA3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29.4 质疑投标人在法定质疑期内应当一次性提出针对同一采购环节提出质疑。</w:t>
      </w:r>
    </w:p>
    <w:p w14:paraId="2D69CC5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29.6 质疑函应当包括以下主要内容，并按照“谁主张、谁举证”的原则，附上相关证明材料。否则，采购人或采购代理机构不予受理。</w:t>
      </w:r>
    </w:p>
    <w:p w14:paraId="5A0795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（1）质疑投标人的名称、地址、邮编、联系人及联系电话；</w:t>
      </w:r>
    </w:p>
    <w:p w14:paraId="610C76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（2）质疑项目的名称、编号；</w:t>
      </w:r>
    </w:p>
    <w:p w14:paraId="5E6C67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（3）具体、明确的质疑事项和与质疑事实相关的请求；</w:t>
      </w:r>
    </w:p>
    <w:p w14:paraId="05588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（4）事实依据；</w:t>
      </w:r>
    </w:p>
    <w:p w14:paraId="718D9B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（5）必要的法律依据；</w:t>
      </w:r>
    </w:p>
    <w:p w14:paraId="112B13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（6）提起质疑的日期；</w:t>
      </w:r>
    </w:p>
    <w:p w14:paraId="7E9597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（7）质疑函应当署名：应当由法定代表人签字并加盖单位公章。</w:t>
      </w:r>
    </w:p>
    <w:p w14:paraId="2B0FF6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29</w:t>
      </w:r>
      <w:r>
        <w:rPr>
          <w:rFonts w:hint="eastAsia" w:asciiTheme="minorEastAsia" w:hAnsiTheme="minorEastAsia" w:eastAsiaTheme="minorEastAsia" w:cstheme="minorEastAsia"/>
          <w:spacing w:val="0"/>
          <w:position w:val="0"/>
          <w:sz w:val="24"/>
          <w:szCs w:val="24"/>
          <w:highlight w:val="none"/>
        </w:rPr>
        <w:t>.7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29.8 对于内容、格式符合规定的质疑函，采购人或采购代理机构将在七个工作日内以书面形式或者电子文件形式作出答复。</w:t>
      </w:r>
    </w:p>
    <w:p w14:paraId="1049703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21" w:name="_Toc9295"/>
      <w:r>
        <w:rPr>
          <w:rFonts w:hint="eastAsia" w:asciiTheme="minorEastAsia" w:hAnsiTheme="minorEastAsia" w:eastAsiaTheme="minorEastAsia" w:cstheme="minorEastAsia"/>
          <w:b/>
          <w:bCs/>
          <w:spacing w:val="0"/>
          <w:position w:val="0"/>
          <w:sz w:val="24"/>
          <w:szCs w:val="24"/>
          <w:highlight w:val="none"/>
        </w:rPr>
        <w:t>八、政府采购政策功能落实</w:t>
      </w:r>
      <w:bookmarkEnd w:id="21"/>
    </w:p>
    <w:p w14:paraId="36B3B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3</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.政策功能落实</w:t>
      </w:r>
    </w:p>
    <w:p w14:paraId="5578AE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小微型企业价格扣除</w:t>
      </w:r>
    </w:p>
    <w:p w14:paraId="54E47F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.1.1 对于未预留份额专门面向中小企业采购的采购项目，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w:t>
      </w:r>
      <w:r>
        <w:rPr>
          <w:rFonts w:hint="eastAsia" w:asciiTheme="minorEastAsia" w:hAnsiTheme="minorEastAsia" w:eastAsiaTheme="minorEastAsia" w:cstheme="minorEastAsia"/>
          <w:spacing w:val="0"/>
          <w:position w:val="0"/>
          <w:sz w:val="24"/>
          <w:szCs w:val="24"/>
          <w:highlight w:val="none"/>
          <w:lang w:val="en-US" w:eastAsia="zh-CN"/>
        </w:rPr>
        <w:t>或者</w:t>
      </w:r>
      <w:r>
        <w:rPr>
          <w:rFonts w:hint="eastAsia" w:asciiTheme="minorEastAsia" w:hAnsiTheme="minorEastAsia" w:eastAsiaTheme="minorEastAsia" w:cstheme="minorEastAsia"/>
          <w:spacing w:val="0"/>
          <w:position w:val="0"/>
          <w:sz w:val="24"/>
          <w:szCs w:val="24"/>
          <w:highlight w:val="none"/>
        </w:rPr>
        <w:t>服务符合下列情形的，享受本办法规定的中小企业扶持政策给予小微企业报价</w:t>
      </w:r>
      <w:r>
        <w:rPr>
          <w:rFonts w:hint="eastAsia" w:asciiTheme="minorEastAsia" w:hAnsiTheme="minorEastAsia" w:eastAsiaTheme="minorEastAsia" w:cstheme="minorEastAsia"/>
          <w:b/>
          <w:bCs/>
          <w:spacing w:val="0"/>
          <w:position w:val="0"/>
          <w:sz w:val="24"/>
          <w:szCs w:val="24"/>
          <w:highlight w:val="none"/>
          <w:lang w:val="en-US" w:eastAsia="zh-CN"/>
        </w:rPr>
        <w:t>15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的扣除，用扣除后的价格参与评审：</w:t>
      </w:r>
    </w:p>
    <w:p w14:paraId="58A679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（1）在货物采购项目中，货物由中小企业制造，即货物由中小企业生产且使用该中小企业商号或者注册商标；</w:t>
      </w:r>
    </w:p>
    <w:p w14:paraId="351586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（2）在服务采购项目中，服务由中小企业承接，即提供服务的人员为中小企业依照《中华人民共和国劳动合同法》订立劳动合同的从业人员。</w:t>
      </w:r>
    </w:p>
    <w:p w14:paraId="4B150B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.1.2 在货物采购项目中，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提供的货物既有中小企业制造货物，也有大型企业制造货物的，不享受本办法规定的中小企业扶持政策。</w:t>
      </w:r>
    </w:p>
    <w:p w14:paraId="7AAE3C4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联合体及分包</w:t>
      </w:r>
    </w:p>
    <w:p w14:paraId="30A0629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以联合体形式参加政府采购活动，联合体各方均为中小企业的，联合体视同中小企业。其中，联合体各方均为小微企业的，联合体视同小微企业。</w:t>
      </w:r>
    </w:p>
    <w:p w14:paraId="001C6F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享受扶持政策获得政府采购合同的，小微企业不得将合同分包给大中型企业，中型企业不得将合同分包给大型企业。</w:t>
      </w:r>
    </w:p>
    <w:p w14:paraId="3F3BA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小微型企业</w:t>
      </w:r>
    </w:p>
    <w:p w14:paraId="109DD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的要求提供相应的《企业声明函》，详见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3541790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（2）企业标准请参照《政府采购促进中小企业发展管理办法》（财库〔2020〕46 号）文件规定自行填写。</w:t>
      </w:r>
    </w:p>
    <w:p w14:paraId="448189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.4 残疾人福利单位</w:t>
      </w:r>
    </w:p>
    <w:p w14:paraId="78A716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（1）残疾人福利单位需按照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的要求提供《残疾人福利性单位声明函》，详见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5ADBED6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（2）残疾人福利单位标准请参照《关于促进残疾人就业政府采购政策的通知》（财库〔2017〕141 号）。</w:t>
      </w:r>
    </w:p>
    <w:p w14:paraId="50BC2C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.5 监狱和戒毒企业</w:t>
      </w:r>
    </w:p>
    <w:p w14:paraId="16847E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（1）监狱企业参加政府采购活动时，需提供由省级以上监狱管理局、戒毒管理局（含新疆生产建设兵团）出具的属于监狱企业的证明文件）</w:t>
      </w:r>
      <w:r>
        <w:rPr>
          <w:rFonts w:hint="eastAsia" w:asciiTheme="minorEastAsia" w:hAnsiTheme="minorEastAsia" w:eastAsiaTheme="minorEastAsia" w:cstheme="minorEastAsia"/>
          <w:spacing w:val="0"/>
          <w:position w:val="0"/>
          <w:sz w:val="24"/>
          <w:szCs w:val="24"/>
          <w:highlight w:val="none"/>
          <w:lang w:eastAsia="zh-CN"/>
        </w:rPr>
        <w:t>（在招标文件</w:t>
      </w:r>
      <w:r>
        <w:rPr>
          <w:rFonts w:hint="eastAsia" w:asciiTheme="minorEastAsia" w:hAnsiTheme="minorEastAsia" w:eastAsiaTheme="minorEastAsia" w:cstheme="minorEastAsia"/>
          <w:spacing w:val="0"/>
          <w:position w:val="0"/>
          <w:sz w:val="24"/>
          <w:szCs w:val="24"/>
          <w:highlight w:val="none"/>
        </w:rPr>
        <w:t>中上传加盖出具单位公章的电子件）。</w:t>
      </w:r>
    </w:p>
    <w:p w14:paraId="58CBF1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（2）监狱企业标准请参照《关于政府采购支持监狱企业发展有关问题的通知》（财库〔2014〕68号）。</w:t>
      </w:r>
    </w:p>
    <w:p w14:paraId="1B74A859">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rPr>
          <w:rFonts w:hint="default" w:asciiTheme="minorEastAsia" w:hAnsiTheme="minorEastAsia" w:eastAsiaTheme="minorEastAsia" w:cstheme="minorEastAsia"/>
          <w:b/>
          <w:bCs/>
          <w:spacing w:val="0"/>
          <w:position w:val="0"/>
          <w:sz w:val="24"/>
          <w:szCs w:val="24"/>
          <w:highlight w:val="none"/>
          <w:lang w:val="en-US" w:eastAsia="zh-CN"/>
        </w:rPr>
      </w:pPr>
      <w:bookmarkStart w:id="22" w:name="bookmark3"/>
      <w:bookmarkEnd w:id="22"/>
      <w:bookmarkStart w:id="23" w:name="bookmark9"/>
      <w:bookmarkEnd w:id="23"/>
      <w:r>
        <w:rPr>
          <w:rFonts w:hint="eastAsia" w:asciiTheme="minorEastAsia" w:hAnsiTheme="minorEastAsia" w:eastAsiaTheme="minorEastAsia" w:cstheme="minorEastAsia"/>
          <w:b/>
          <w:bCs/>
          <w:spacing w:val="0"/>
          <w:position w:val="0"/>
          <w:sz w:val="24"/>
          <w:szCs w:val="24"/>
          <w:highlight w:val="none"/>
          <w:lang w:val="en-US" w:eastAsia="zh-CN"/>
        </w:rPr>
        <w:t>九、其他</w:t>
      </w:r>
    </w:p>
    <w:p w14:paraId="506363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31.1</w:t>
      </w:r>
      <w:r>
        <w:rPr>
          <w:rFonts w:hint="default" w:asciiTheme="minorEastAsia" w:hAnsiTheme="minorEastAsia" w:eastAsiaTheme="minorEastAsia" w:cstheme="minorEastAsia"/>
          <w:spacing w:val="0"/>
          <w:position w:val="0"/>
          <w:sz w:val="24"/>
          <w:szCs w:val="24"/>
          <w:highlight w:val="none"/>
          <w:lang w:val="en-US"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31.2</w:t>
      </w:r>
      <w:r>
        <w:rPr>
          <w:rFonts w:hint="default" w:asciiTheme="minorEastAsia" w:hAnsiTheme="minorEastAsia" w:eastAsiaTheme="minorEastAsia" w:cstheme="minorEastAsia"/>
          <w:spacing w:val="0"/>
          <w:position w:val="0"/>
          <w:sz w:val="24"/>
          <w:szCs w:val="24"/>
          <w:highlight w:val="none"/>
          <w:lang w:val="en-US"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keepNext w:val="0"/>
        <w:keepLines w:val="0"/>
        <w:pageBreakBefore w:val="0"/>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br w:type="page"/>
      </w:r>
    </w:p>
    <w:p w14:paraId="10817426">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p>
    <w:p w14:paraId="63EF0DA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24" w:name="_Toc2127"/>
      <w:r>
        <w:rPr>
          <w:rFonts w:hint="eastAsia" w:ascii="黑体" w:hAnsi="黑体" w:eastAsia="黑体" w:cs="黑体"/>
          <w:b w:val="0"/>
          <w:bCs w:val="0"/>
          <w:spacing w:val="0"/>
          <w:position w:val="0"/>
          <w:sz w:val="35"/>
          <w:szCs w:val="35"/>
          <w:highlight w:val="none"/>
        </w:rPr>
        <w:t>第三章 评标标准</w:t>
      </w:r>
      <w:bookmarkEnd w:id="24"/>
    </w:p>
    <w:p w14:paraId="38FC1EC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一、本项目</w:t>
      </w:r>
      <w:r>
        <w:rPr>
          <w:rFonts w:hint="eastAsia" w:asciiTheme="minorEastAsia" w:hAnsiTheme="minorEastAsia" w:eastAsiaTheme="minorEastAsia" w:cstheme="minorEastAsia"/>
          <w:spacing w:val="0"/>
          <w:position w:val="0"/>
          <w:sz w:val="24"/>
          <w:szCs w:val="24"/>
          <w:highlight w:val="none"/>
          <w:lang w:val="en-US" w:eastAsia="zh-CN"/>
        </w:rPr>
        <w:t>各标段</w:t>
      </w:r>
      <w:r>
        <w:rPr>
          <w:rFonts w:hint="eastAsia" w:asciiTheme="minorEastAsia" w:hAnsiTheme="minorEastAsia" w:eastAsiaTheme="minorEastAsia" w:cstheme="minorEastAsia"/>
          <w:spacing w:val="0"/>
          <w:position w:val="0"/>
          <w:sz w:val="24"/>
          <w:szCs w:val="24"/>
          <w:highlight w:val="none"/>
        </w:rPr>
        <w:t>采用</w:t>
      </w:r>
      <w:r>
        <w:rPr>
          <w:rFonts w:hint="eastAsia" w:asciiTheme="minorEastAsia" w:hAnsiTheme="minorEastAsia" w:eastAsiaTheme="minorEastAsia" w:cstheme="minorEastAsia"/>
          <w:b/>
          <w:bCs/>
          <w:spacing w:val="0"/>
          <w:position w:val="0"/>
          <w:sz w:val="24"/>
          <w:szCs w:val="24"/>
          <w:highlight w:val="none"/>
        </w:rPr>
        <w:t>综合评分法</w:t>
      </w:r>
      <w:r>
        <w:rPr>
          <w:rFonts w:hint="eastAsia" w:asciiTheme="minorEastAsia" w:hAnsiTheme="minorEastAsia" w:eastAsiaTheme="minorEastAsia" w:cstheme="minorEastAsia"/>
          <w:spacing w:val="0"/>
          <w:position w:val="0"/>
          <w:sz w:val="24"/>
          <w:szCs w:val="24"/>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二、评委会将依据下列评标标准</w:t>
      </w:r>
      <w:r>
        <w:rPr>
          <w:rFonts w:hint="eastAsia" w:asciiTheme="minorEastAsia" w:hAnsiTheme="minorEastAsia" w:eastAsiaTheme="minorEastAsia" w:cstheme="minorEastAsia"/>
          <w:spacing w:val="0"/>
          <w:position w:val="0"/>
          <w:sz w:val="24"/>
          <w:szCs w:val="24"/>
          <w:highlight w:val="none"/>
          <w:lang w:val="en-US" w:eastAsia="zh-CN"/>
        </w:rPr>
        <w:t>分别对各标段</w:t>
      </w:r>
      <w:r>
        <w:rPr>
          <w:rFonts w:hint="eastAsia" w:asciiTheme="minorEastAsia" w:hAnsiTheme="minorEastAsia" w:eastAsiaTheme="minorEastAsia" w:cstheme="minorEastAsia"/>
          <w:spacing w:val="0"/>
          <w:position w:val="0"/>
          <w:sz w:val="24"/>
          <w:szCs w:val="24"/>
          <w:highlight w:val="none"/>
        </w:rPr>
        <w:t>进行评标，本评标标准的总分为100分</w:t>
      </w:r>
      <w:r>
        <w:rPr>
          <w:rFonts w:hint="eastAsia" w:asciiTheme="minorEastAsia" w:hAnsiTheme="minorEastAsia" w:eastAsiaTheme="minorEastAsia" w:cstheme="minorEastAsia"/>
          <w:spacing w:val="0"/>
          <w:position w:val="0"/>
          <w:sz w:val="24"/>
          <w:szCs w:val="24"/>
          <w:highlight w:val="none"/>
          <w:lang w:val="en-US" w:eastAsia="zh-CN"/>
        </w:rPr>
        <w:t>/标段</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每标段</w:t>
      </w:r>
      <w:r>
        <w:rPr>
          <w:rFonts w:hint="eastAsia" w:asciiTheme="minorEastAsia" w:hAnsiTheme="minorEastAsia" w:eastAsiaTheme="minorEastAsia" w:cstheme="minorEastAsia"/>
          <w:spacing w:val="0"/>
          <w:position w:val="0"/>
          <w:sz w:val="24"/>
          <w:szCs w:val="24"/>
          <w:highlight w:val="none"/>
        </w:rPr>
        <w:t>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w:t>
      </w:r>
      <w:r>
        <w:rPr>
          <w:rFonts w:hint="eastAsia" w:asciiTheme="minorEastAsia" w:hAnsiTheme="minorEastAsia" w:eastAsiaTheme="minorEastAsia" w:cstheme="minorEastAsia"/>
          <w:spacing w:val="0"/>
          <w:position w:val="0"/>
          <w:sz w:val="24"/>
          <w:szCs w:val="24"/>
          <w:highlight w:val="none"/>
          <w:lang w:val="en-US" w:eastAsia="zh-CN"/>
        </w:rPr>
        <w:t>十一</w:t>
      </w:r>
      <w:r>
        <w:rPr>
          <w:rFonts w:hint="eastAsia" w:asciiTheme="minorEastAsia" w:hAnsiTheme="minorEastAsia" w:eastAsiaTheme="minorEastAsia" w:cstheme="minorEastAsia"/>
          <w:spacing w:val="0"/>
          <w:position w:val="0"/>
          <w:sz w:val="24"/>
          <w:szCs w:val="24"/>
          <w:highlight w:val="none"/>
        </w:rPr>
        <w:t>个标段，从一标段开始按顺序进行评审</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投标人可选择其中任何一标段或多个标段投标，也可兼投，每个标段只有一位成交投标人，同一个投标人可以兼中多个标段。</w:t>
      </w:r>
    </w:p>
    <w:p w14:paraId="515249A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rPr>
        <w:t>三、具体标准：</w:t>
      </w:r>
    </w:p>
    <w:tbl>
      <w:tblPr>
        <w:tblStyle w:val="17"/>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评审因素</w:t>
            </w:r>
          </w:p>
        </w:tc>
        <w:tc>
          <w:tcPr>
            <w:tcW w:w="9069" w:type="dxa"/>
            <w:vAlign w:val="center"/>
          </w:tcPr>
          <w:p w14:paraId="4E4D027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投标报价</w:t>
            </w:r>
          </w:p>
          <w:p w14:paraId="21EA6C9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（30分）</w:t>
            </w:r>
          </w:p>
        </w:tc>
        <w:tc>
          <w:tcPr>
            <w:tcW w:w="9069" w:type="dxa"/>
            <w:vAlign w:val="center"/>
          </w:tcPr>
          <w:p w14:paraId="24A16CE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采用低价优先法计算，即满足招标文件要求且最后报价最低的投标人的价格为投标基准价，其价格分为满分。其他投标人的价格分统一按照下列公式计算（</w:t>
            </w:r>
            <w:r>
              <w:rPr>
                <w:rFonts w:hint="eastAsia" w:asciiTheme="minorEastAsia" w:hAnsiTheme="minorEastAsia" w:eastAsiaTheme="minorEastAsia" w:cstheme="minorEastAsia"/>
                <w:spacing w:val="0"/>
                <w:position w:val="0"/>
                <w:sz w:val="24"/>
                <w:szCs w:val="24"/>
                <w:highlight w:val="none"/>
                <w:lang w:val="en-US" w:eastAsia="zh-CN"/>
              </w:rPr>
              <w:t>保留至小数点后两位</w:t>
            </w:r>
            <w:r>
              <w:rPr>
                <w:rFonts w:hint="eastAsia" w:asciiTheme="minorEastAsia" w:hAnsiTheme="minorEastAsia" w:eastAsiaTheme="minorEastAsia" w:cstheme="minorEastAsia"/>
                <w:spacing w:val="0"/>
                <w:position w:val="0"/>
                <w:sz w:val="24"/>
                <w:szCs w:val="24"/>
                <w:highlight w:val="none"/>
                <w:lang w:eastAsia="zh-CN"/>
              </w:rPr>
              <w:t>）：</w:t>
            </w:r>
          </w:p>
          <w:p w14:paraId="271ECBB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投标报价得分＝（</w:t>
            </w:r>
            <w:r>
              <w:rPr>
                <w:rFonts w:hint="eastAsia" w:asciiTheme="minorEastAsia" w:hAnsiTheme="minorEastAsia" w:eastAsiaTheme="minorEastAsia" w:cstheme="minorEastAsia"/>
                <w:b/>
                <w:bCs/>
                <w:spacing w:val="0"/>
                <w:position w:val="0"/>
                <w:sz w:val="24"/>
                <w:szCs w:val="24"/>
                <w:highlight w:val="none"/>
                <w:lang w:val="en-US" w:eastAsia="zh-CN"/>
              </w:rPr>
              <w:t>评分</w:t>
            </w:r>
            <w:r>
              <w:rPr>
                <w:rFonts w:hint="eastAsia" w:asciiTheme="minorEastAsia" w:hAnsiTheme="minorEastAsia" w:eastAsiaTheme="minorEastAsia" w:cstheme="minorEastAsia"/>
                <w:b/>
                <w:bCs/>
                <w:spacing w:val="0"/>
                <w:position w:val="0"/>
                <w:sz w:val="24"/>
                <w:szCs w:val="24"/>
                <w:highlight w:val="none"/>
                <w:lang w:eastAsia="zh-CN"/>
              </w:rPr>
              <w:t>基准价/最后投标报价）×</w:t>
            </w:r>
            <w:r>
              <w:rPr>
                <w:rFonts w:hint="eastAsia" w:asciiTheme="minorEastAsia" w:hAnsiTheme="minorEastAsia" w:eastAsiaTheme="minorEastAsia" w:cstheme="minorEastAsia"/>
                <w:b/>
                <w:bCs/>
                <w:spacing w:val="0"/>
                <w:position w:val="0"/>
                <w:sz w:val="24"/>
                <w:szCs w:val="24"/>
                <w:highlight w:val="none"/>
                <w:lang w:val="en-US" w:eastAsia="zh-CN"/>
              </w:rPr>
              <w:t>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技术</w:t>
            </w:r>
            <w:r>
              <w:rPr>
                <w:rFonts w:hint="eastAsia" w:asciiTheme="minorEastAsia" w:hAnsiTheme="minorEastAsia" w:eastAsiaTheme="minorEastAsia" w:cstheme="minorEastAsia"/>
                <w:spacing w:val="0"/>
                <w:position w:val="0"/>
                <w:sz w:val="24"/>
                <w:szCs w:val="24"/>
                <w:highlight w:val="none"/>
              </w:rPr>
              <w:t>响应</w:t>
            </w:r>
          </w:p>
          <w:p w14:paraId="7BF4D59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40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45E2A8D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0" w:firstLineChars="20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 xml:space="preserve"> </w:t>
            </w:r>
          </w:p>
          <w:p w14:paraId="0309AF1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注：</w:t>
            </w: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default" w:asciiTheme="minorEastAsia" w:hAnsiTheme="minorEastAsia" w:eastAsiaTheme="minorEastAsia" w:cstheme="minorEastAsia"/>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shd w:val="clear" w:color="auto" w:fill="auto"/>
            <w:vAlign w:val="center"/>
          </w:tcPr>
          <w:p w14:paraId="3C7C463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544445A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2B567ED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设备到货、安装、调试方案</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 xml:space="preserve"> 5</w:t>
            </w:r>
            <w:r>
              <w:rPr>
                <w:rFonts w:hint="eastAsia" w:asciiTheme="minorEastAsia" w:hAnsiTheme="minorEastAsia" w:eastAsiaTheme="minorEastAsia" w:cstheme="minorEastAsia"/>
                <w:spacing w:val="0"/>
                <w:position w:val="0"/>
                <w:sz w:val="24"/>
                <w:szCs w:val="24"/>
                <w:highlight w:val="none"/>
              </w:rPr>
              <w:t>分）</w:t>
            </w:r>
          </w:p>
          <w:p w14:paraId="68986D6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p>
        </w:tc>
        <w:tc>
          <w:tcPr>
            <w:tcW w:w="9069" w:type="dxa"/>
            <w:shd w:val="clear" w:color="auto" w:fill="auto"/>
            <w:vAlign w:val="center"/>
          </w:tcPr>
          <w:p w14:paraId="59857BDA">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具体实施方案包括但不仅限于到货前场地确认安排、开箱验收、设备安装、设备试运行、设备调试运行后的工作等。</w:t>
            </w:r>
          </w:p>
          <w:p w14:paraId="3755AFBE">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实施情况制定整体实施方案、安装方案、进度安排、设备使用维护、验收方案较完整，进度安排较合理得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471BAE6C">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完整，进度安排</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合理得3分； </w:t>
            </w:r>
          </w:p>
          <w:p w14:paraId="6CC9A853">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实施情况制定整体实施方案、安装方案、进度安排、设备使用维护、验收方案简单，可执行性一般得1分； </w:t>
            </w:r>
          </w:p>
          <w:p w14:paraId="63B02E3B">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shd w:val="clear" w:color="auto" w:fill="auto"/>
            <w:vAlign w:val="center"/>
          </w:tcPr>
          <w:p w14:paraId="37E7D997">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2EC0C2C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3CB27FE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培训方案（5分）</w:t>
            </w:r>
          </w:p>
        </w:tc>
        <w:tc>
          <w:tcPr>
            <w:tcW w:w="9069" w:type="dxa"/>
            <w:shd w:val="clear" w:color="auto" w:fill="auto"/>
            <w:vAlign w:val="center"/>
          </w:tcPr>
          <w:p w14:paraId="51A29C4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根据投标人提供的培训方案进行评估，包括但不限于培训步骤、培训计划、培训记录表、培训人员、相关资质等，对内容的全面性、针对性、可行性进行评价。</w:t>
            </w:r>
          </w:p>
          <w:p w14:paraId="0440D8C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1）培训方案</w:t>
            </w:r>
            <w:r>
              <w:rPr>
                <w:rFonts w:hint="eastAsia" w:asciiTheme="minorEastAsia" w:hAnsiTheme="minorEastAsia" w:eastAsiaTheme="minorEastAsia" w:cstheme="minorEastAsia"/>
                <w:spacing w:val="0"/>
                <w:position w:val="0"/>
                <w:sz w:val="24"/>
                <w:szCs w:val="24"/>
                <w:highlight w:val="none"/>
                <w:lang w:eastAsia="zh-CN"/>
              </w:rPr>
              <w:t>全面具体详实、</w:t>
            </w:r>
            <w:r>
              <w:rPr>
                <w:rFonts w:hint="eastAsia" w:asciiTheme="minorEastAsia" w:hAnsiTheme="minorEastAsia" w:eastAsiaTheme="minorEastAsia" w:cstheme="minorEastAsia"/>
                <w:spacing w:val="0"/>
                <w:position w:val="0"/>
                <w:sz w:val="24"/>
                <w:szCs w:val="24"/>
                <w:highlight w:val="none"/>
                <w:lang w:val="en-US" w:eastAsia="zh-CN"/>
              </w:rPr>
              <w:t>针对性强、可行性高得5分；</w:t>
            </w:r>
          </w:p>
          <w:p w14:paraId="2154997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2）培训方案较全面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针对性较强、可行性较高得4分；</w:t>
            </w:r>
          </w:p>
          <w:p w14:paraId="376CAFE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3）培训方案基本全面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针对性一般、可行性一般得3分；</w:t>
            </w:r>
          </w:p>
          <w:p w14:paraId="44163B0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4）培训方案不全面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针对性差、不具可行性得1分；</w:t>
            </w:r>
          </w:p>
          <w:p w14:paraId="27888EF5">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shd w:val="clear" w:color="auto" w:fill="auto"/>
            <w:vAlign w:val="center"/>
          </w:tcPr>
          <w:p w14:paraId="1EB7397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售后服务管理体系方案</w:t>
            </w:r>
          </w:p>
          <w:p w14:paraId="23C3A74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5分</w:t>
            </w:r>
            <w:r>
              <w:rPr>
                <w:rFonts w:hint="eastAsia" w:asciiTheme="minorEastAsia" w:hAnsiTheme="minorEastAsia" w:eastAsiaTheme="minorEastAsia" w:cstheme="minorEastAsia"/>
                <w:spacing w:val="0"/>
                <w:position w:val="0"/>
                <w:sz w:val="24"/>
                <w:szCs w:val="24"/>
                <w:highlight w:val="none"/>
                <w:lang w:eastAsia="zh-CN"/>
              </w:rPr>
              <w:t>）</w:t>
            </w:r>
          </w:p>
        </w:tc>
        <w:tc>
          <w:tcPr>
            <w:tcW w:w="9069" w:type="dxa"/>
            <w:shd w:val="clear" w:color="auto" w:fill="auto"/>
            <w:vAlign w:val="center"/>
          </w:tcPr>
          <w:p w14:paraId="0CDE2830">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针对本项目制定的质保期</w:t>
            </w:r>
            <w:r>
              <w:rPr>
                <w:rFonts w:hint="eastAsia" w:asciiTheme="minorEastAsia" w:hAnsiTheme="minorEastAsia" w:eastAsiaTheme="minorEastAsia" w:cstheme="minorEastAsia"/>
                <w:b/>
                <w:bCs/>
                <w:spacing w:val="0"/>
                <w:position w:val="0"/>
                <w:sz w:val="24"/>
                <w:szCs w:val="24"/>
                <w:highlight w:val="none"/>
                <w:lang w:val="en-US" w:eastAsia="zh-CN"/>
              </w:rPr>
              <w:t>内和质保期</w:t>
            </w:r>
            <w:r>
              <w:rPr>
                <w:rFonts w:hint="eastAsia" w:asciiTheme="minorEastAsia" w:hAnsiTheme="minorEastAsia" w:eastAsiaTheme="minorEastAsia" w:cstheme="minorEastAsia"/>
                <w:b/>
                <w:bCs/>
                <w:spacing w:val="0"/>
                <w:position w:val="0"/>
                <w:sz w:val="24"/>
                <w:szCs w:val="24"/>
                <w:highlight w:val="none"/>
                <w:lang w:eastAsia="zh-CN"/>
              </w:rPr>
              <w:t>外售后服务管理体系方案，包括但不限于售后服务人员、服务机制、响应时间、故障解决，质保期满后维保收费等内容的合理性和可行性。</w:t>
            </w:r>
          </w:p>
          <w:p w14:paraId="194FA47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lang w:eastAsia="zh-CN"/>
              </w:rPr>
              <w:t>售后服务方案完整合理，可行性高，优于项目需求的得</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分；</w:t>
            </w:r>
          </w:p>
          <w:p w14:paraId="3E408A9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售后服务方案较为完整合理，可行性较高，满足项目需求的得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0C63C31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售后服务方案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完整合理，可行性</w:t>
            </w:r>
            <w:r>
              <w:rPr>
                <w:rFonts w:hint="eastAsia" w:asciiTheme="minorEastAsia" w:hAnsiTheme="minorEastAsia" w:eastAsiaTheme="minorEastAsia" w:cstheme="minorEastAsia"/>
                <w:spacing w:val="0"/>
                <w:position w:val="0"/>
                <w:sz w:val="24"/>
                <w:szCs w:val="24"/>
                <w:highlight w:val="none"/>
                <w:lang w:val="en-US" w:eastAsia="zh-CN"/>
              </w:rPr>
              <w:t>一般</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满足项目需求的得</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分；</w:t>
            </w:r>
          </w:p>
          <w:p w14:paraId="2508816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售后服务方案不够完整合理，可行性较低，不能完全满足项目需求的得1分；</w:t>
            </w:r>
          </w:p>
          <w:p w14:paraId="029F7C6F">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shd w:val="clear" w:color="auto" w:fill="auto"/>
            <w:vAlign w:val="center"/>
          </w:tcPr>
          <w:p w14:paraId="0DD4C0F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应急维护方案</w:t>
            </w:r>
            <w:r>
              <w:rPr>
                <w:rFonts w:hint="eastAsia" w:asciiTheme="minorEastAsia" w:hAnsiTheme="minorEastAsia" w:eastAsiaTheme="minorEastAsia" w:cstheme="minorEastAsia"/>
                <w:spacing w:val="0"/>
                <w:position w:val="0"/>
                <w:sz w:val="24"/>
                <w:szCs w:val="24"/>
                <w:highlight w:val="none"/>
                <w:lang w:val="en-US" w:eastAsia="zh-CN"/>
              </w:rPr>
              <w:t>(5)分</w:t>
            </w:r>
          </w:p>
        </w:tc>
        <w:tc>
          <w:tcPr>
            <w:tcW w:w="9069" w:type="dxa"/>
            <w:shd w:val="clear" w:color="auto" w:fill="auto"/>
            <w:vAlign w:val="center"/>
          </w:tcPr>
          <w:p w14:paraId="712D340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pacing w:val="0"/>
                <w:position w:val="0"/>
                <w:sz w:val="24"/>
                <w:szCs w:val="24"/>
                <w:highlight w:val="none"/>
                <w:lang w:eastAsia="zh-CN"/>
              </w:rPr>
              <w:t xml:space="preserve"> </w:t>
            </w:r>
          </w:p>
          <w:p w14:paraId="584F69D3">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重大故障处理方案，明确分级响应机制，配备专职维修团队，配备标准化抢修工具箱（需附工具图片），制定重大活动保障计划内容全面实施性高的5分；</w:t>
            </w:r>
          </w:p>
          <w:p w14:paraId="2AAC8582">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重大故障处理方案，明确分级响应机制，配备专职技术团队，承诺到场时效内容齐全的得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 xml:space="preserve">分； </w:t>
            </w:r>
          </w:p>
          <w:p w14:paraId="101F39CE">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齐全的得3分； </w:t>
            </w:r>
          </w:p>
          <w:p w14:paraId="4055E1DF">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重大故障处理方案，配备专职技术团队等内容表述简单或者不完整的得1分； </w:t>
            </w:r>
          </w:p>
          <w:p w14:paraId="7FA889D8">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商务部分</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10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6CB5947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1.业绩</w:t>
            </w:r>
          </w:p>
          <w:p w14:paraId="623A3B6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投标人或生产厂商自202</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年</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月1日（以合同签订时间为准）以来</w:t>
            </w:r>
            <w:r>
              <w:rPr>
                <w:rFonts w:hint="eastAsia" w:asciiTheme="minorEastAsia" w:hAnsiTheme="minorEastAsia" w:eastAsiaTheme="minorEastAsia" w:cstheme="minorEastAsia"/>
                <w:color w:val="auto"/>
                <w:spacing w:val="0"/>
                <w:position w:val="0"/>
                <w:sz w:val="24"/>
                <w:szCs w:val="24"/>
                <w:highlight w:val="none"/>
                <w:shd w:val="clear"/>
                <w:lang w:eastAsia="zh-CN"/>
              </w:rPr>
              <w:t>所投核心产品同</w:t>
            </w:r>
            <w:r>
              <w:rPr>
                <w:rFonts w:hint="eastAsia" w:asciiTheme="minorEastAsia" w:hAnsiTheme="minorEastAsia" w:eastAsiaTheme="minorEastAsia" w:cstheme="minorEastAsia"/>
                <w:color w:val="auto"/>
                <w:spacing w:val="0"/>
                <w:position w:val="0"/>
                <w:sz w:val="24"/>
                <w:szCs w:val="24"/>
                <w:highlight w:val="none"/>
                <w:shd w:val="clear"/>
                <w:lang w:val="en-US" w:eastAsia="zh-CN"/>
              </w:rPr>
              <w:t>类</w:t>
            </w:r>
            <w:r>
              <w:rPr>
                <w:rFonts w:hint="eastAsia" w:asciiTheme="minorEastAsia" w:hAnsiTheme="minorEastAsia" w:eastAsiaTheme="minorEastAsia" w:cstheme="minorEastAsia"/>
                <w:color w:val="auto"/>
                <w:spacing w:val="0"/>
                <w:position w:val="0"/>
                <w:sz w:val="24"/>
                <w:szCs w:val="24"/>
                <w:highlight w:val="none"/>
                <w:shd w:val="clear"/>
                <w:lang w:eastAsia="zh-CN"/>
              </w:rPr>
              <w:t>型的</w:t>
            </w:r>
            <w:r>
              <w:rPr>
                <w:rFonts w:hint="eastAsia" w:asciiTheme="minorEastAsia" w:hAnsiTheme="minorEastAsia" w:eastAsiaTheme="minorEastAsia" w:cstheme="minorEastAsia"/>
                <w:spacing w:val="0"/>
                <w:position w:val="0"/>
                <w:sz w:val="24"/>
                <w:szCs w:val="24"/>
                <w:highlight w:val="none"/>
                <w:lang w:eastAsia="zh-CN"/>
              </w:rPr>
              <w:t>业</w:t>
            </w:r>
            <w:r>
              <w:rPr>
                <w:rFonts w:hint="eastAsia" w:asciiTheme="minorEastAsia" w:hAnsiTheme="minorEastAsia" w:eastAsiaTheme="minorEastAsia" w:cstheme="minorEastAsia"/>
                <w:spacing w:val="0"/>
                <w:position w:val="0"/>
                <w:sz w:val="24"/>
                <w:szCs w:val="24"/>
                <w:highlight w:val="none"/>
                <w:lang w:val="en-US" w:eastAsia="zh-CN"/>
              </w:rPr>
              <w:t>绩</w:t>
            </w:r>
            <w:r>
              <w:rPr>
                <w:rFonts w:hint="eastAsia" w:asciiTheme="minorEastAsia" w:hAnsiTheme="minorEastAsia" w:eastAsiaTheme="minorEastAsia" w:cstheme="minorEastAsia"/>
                <w:spacing w:val="0"/>
                <w:position w:val="0"/>
                <w:sz w:val="24"/>
                <w:szCs w:val="24"/>
                <w:highlight w:val="none"/>
                <w:lang w:eastAsia="zh-CN"/>
              </w:rPr>
              <w:t>（以签订的合同日期为准，包括但不限于合同、中标通知书、中标公告等），每提供一份得</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分，本项最高得</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lang w:eastAsia="zh-CN"/>
              </w:rPr>
              <w:t>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2.</w:t>
            </w:r>
            <w:r>
              <w:rPr>
                <w:rFonts w:hint="eastAsia" w:asciiTheme="minorEastAsia" w:hAnsiTheme="minorEastAsia" w:eastAsiaTheme="minorEastAsia" w:cstheme="minorEastAsia"/>
                <w:b/>
                <w:bCs/>
                <w:spacing w:val="0"/>
                <w:position w:val="0"/>
                <w:sz w:val="24"/>
                <w:szCs w:val="24"/>
                <w:highlight w:val="none"/>
                <w:lang w:val="en-US" w:eastAsia="zh-CN"/>
              </w:rPr>
              <w:t>质保期</w:t>
            </w:r>
          </w:p>
          <w:p w14:paraId="50540E08">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default"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100分</w:t>
            </w:r>
          </w:p>
        </w:tc>
        <w:tc>
          <w:tcPr>
            <w:tcW w:w="9069" w:type="dxa"/>
            <w:vAlign w:val="center"/>
          </w:tcPr>
          <w:p w14:paraId="554823DA">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b w:val="0"/>
                <w:bCs w:val="0"/>
                <w:spacing w:val="0"/>
                <w:position w:val="0"/>
                <w:sz w:val="24"/>
                <w:szCs w:val="24"/>
                <w:highlight w:val="none"/>
                <w:lang w:val="en-US" w:eastAsia="zh-CN"/>
              </w:rPr>
            </w:pPr>
          </w:p>
        </w:tc>
      </w:tr>
    </w:tbl>
    <w:p w14:paraId="4F3247FA">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1" w:type="default"/>
          <w:footerReference r:id="rId12" w:type="default"/>
          <w:pgSz w:w="11906" w:h="16839"/>
          <w:pgMar w:top="1440" w:right="1080" w:bottom="1440" w:left="1080" w:header="866" w:footer="994" w:gutter="0"/>
          <w:pgNumType w:fmt="decimal" w:start="1"/>
          <w:cols w:space="720" w:num="1"/>
        </w:sectPr>
      </w:pPr>
    </w:p>
    <w:p w14:paraId="3255F004">
      <w:pPr>
        <w:shd w:val="clear"/>
        <w:spacing w:line="360" w:lineRule="auto"/>
        <w:rPr>
          <w:rFonts w:hint="eastAsia" w:asciiTheme="minorEastAsia" w:hAnsiTheme="minorEastAsia" w:eastAsiaTheme="minorEastAsia" w:cstheme="minorEastAsia"/>
          <w:spacing w:val="0"/>
          <w:position w:val="0"/>
          <w:sz w:val="2"/>
          <w:highlight w:val="none"/>
        </w:rPr>
      </w:pPr>
    </w:p>
    <w:p w14:paraId="265B292C">
      <w:pPr>
        <w:pStyle w:val="6"/>
        <w:shd w:val="clear"/>
        <w:spacing w:line="360" w:lineRule="auto"/>
        <w:rPr>
          <w:rFonts w:hint="eastAsia" w:asciiTheme="minorEastAsia" w:hAnsiTheme="minorEastAsia" w:eastAsiaTheme="minorEastAsia" w:cstheme="minorEastAsia"/>
          <w:spacing w:val="0"/>
          <w:position w:val="0"/>
          <w:highlight w:val="none"/>
        </w:rPr>
      </w:pPr>
    </w:p>
    <w:p w14:paraId="1BB6D85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lang w:val="en-US" w:eastAsia="zh-CN"/>
        </w:rPr>
      </w:pPr>
      <w:bookmarkStart w:id="25" w:name="bookmark10"/>
      <w:bookmarkEnd w:id="25"/>
      <w:bookmarkStart w:id="26" w:name="_Toc22373"/>
      <w:r>
        <w:rPr>
          <w:rFonts w:hint="eastAsia" w:ascii="黑体" w:hAnsi="黑体" w:eastAsia="黑体" w:cs="黑体"/>
          <w:b w:val="0"/>
          <w:bCs w:val="0"/>
          <w:spacing w:val="0"/>
          <w:position w:val="0"/>
          <w:sz w:val="35"/>
          <w:szCs w:val="35"/>
          <w:highlight w:val="none"/>
        </w:rPr>
        <w:t xml:space="preserve">第四章 </w:t>
      </w:r>
      <w:r>
        <w:rPr>
          <w:rFonts w:hint="eastAsia" w:ascii="黑体" w:hAnsi="黑体" w:eastAsia="黑体" w:cs="黑体"/>
          <w:b w:val="0"/>
          <w:bCs w:val="0"/>
          <w:spacing w:val="0"/>
          <w:position w:val="0"/>
          <w:sz w:val="35"/>
          <w:szCs w:val="35"/>
          <w:highlight w:val="none"/>
          <w:lang w:val="en-US" w:eastAsia="zh-CN"/>
        </w:rPr>
        <w:t>合同格式及条款</w:t>
      </w:r>
      <w:bookmarkEnd w:id="26"/>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【以下为中标后签订本项目合同的通用条款，中标人不得提出实质性的修改。</w:t>
      </w:r>
      <w:r>
        <w:rPr>
          <w:rFonts w:hint="eastAsia" w:asciiTheme="minorEastAsia" w:hAnsiTheme="minorEastAsia" w:eastAsiaTheme="minorEastAsia" w:cstheme="minorEastAsia"/>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合同</w:t>
      </w:r>
      <w:r>
        <w:rPr>
          <w:rFonts w:hint="eastAsia" w:asciiTheme="minorEastAsia" w:hAnsiTheme="minorEastAsia" w:eastAsiaTheme="minorEastAsia" w:cstheme="minorEastAsia"/>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7" w:name="_Toc7959"/>
      <w:r>
        <w:rPr>
          <w:rFonts w:hint="eastAsia" w:asciiTheme="minorEastAsia" w:hAnsiTheme="minorEastAsia" w:eastAsiaTheme="minorEastAsia" w:cstheme="minorEastAsia"/>
          <w:b/>
          <w:bCs/>
          <w:spacing w:val="0"/>
          <w:position w:val="0"/>
          <w:sz w:val="24"/>
          <w:szCs w:val="24"/>
          <w:highlight w:val="none"/>
          <w:lang w:val="en-US" w:eastAsia="zh-CN"/>
        </w:rPr>
        <w:t>一、合同</w:t>
      </w:r>
      <w:bookmarkEnd w:id="2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甲方：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b/>
          <w:bCs/>
          <w:spacing w:val="0"/>
          <w:position w:val="0"/>
          <w:sz w:val="24"/>
          <w:szCs w:val="24"/>
          <w:highlight w:val="none"/>
        </w:rPr>
        <w:t>乙方：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甲、乙双方</w:t>
      </w:r>
      <w:r>
        <w:rPr>
          <w:rFonts w:hint="eastAsia" w:asciiTheme="minorEastAsia" w:hAnsiTheme="minorEastAsia" w:eastAsiaTheme="minorEastAsia" w:cstheme="minorEastAsia"/>
          <w:spacing w:val="0"/>
          <w:position w:val="0"/>
          <w:sz w:val="24"/>
          <w:szCs w:val="24"/>
          <w:highlight w:val="none"/>
          <w:lang w:val="en-US" w:eastAsia="zh-CN"/>
        </w:rPr>
        <w:t>根据项目编号：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u w:val="none"/>
          <w:lang w:val="en-US" w:eastAsia="zh-CN"/>
        </w:rPr>
        <w:t>公开采购结果及公开招标文件的要求，经协商一致，达成如下购销合同：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一、设备名称、</w:t>
      </w:r>
      <w:r>
        <w:rPr>
          <w:rFonts w:hint="eastAsia" w:asciiTheme="minorEastAsia" w:hAnsiTheme="minorEastAsia" w:eastAsiaTheme="minorEastAsia" w:cstheme="minorEastAsia"/>
          <w:b w:val="0"/>
          <w:bCs w:val="0"/>
          <w:spacing w:val="0"/>
          <w:position w:val="0"/>
          <w:sz w:val="24"/>
          <w:szCs w:val="24"/>
          <w:highlight w:val="none"/>
          <w:lang w:val="en-US" w:eastAsia="zh-CN"/>
        </w:rPr>
        <w:t>生产厂家、规格</w:t>
      </w:r>
      <w:r>
        <w:rPr>
          <w:rFonts w:hint="eastAsia" w:asciiTheme="minorEastAsia" w:hAnsiTheme="minorEastAsia" w:eastAsiaTheme="minorEastAsia" w:cstheme="minorEastAsia"/>
          <w:b w:val="0"/>
          <w:bCs w:val="0"/>
          <w:spacing w:val="0"/>
          <w:position w:val="0"/>
          <w:sz w:val="24"/>
          <w:szCs w:val="24"/>
          <w:highlight w:val="none"/>
        </w:rPr>
        <w:t>型号、数量和价格</w:t>
      </w:r>
    </w:p>
    <w:p w14:paraId="7772D823">
      <w:pPr>
        <w:shd w:val="clear"/>
        <w:spacing w:line="360" w:lineRule="auto"/>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 xml:space="preserve"> 淮安市卫生健康委员会医疗设备集中采购项目 彩超  十一标段</w:t>
      </w:r>
    </w:p>
    <w:tbl>
      <w:tblPr>
        <w:tblStyle w:val="17"/>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设备名称</w:t>
            </w:r>
          </w:p>
        </w:tc>
        <w:tc>
          <w:tcPr>
            <w:tcW w:w="1754" w:type="dxa"/>
            <w:vAlign w:val="center"/>
          </w:tcPr>
          <w:p w14:paraId="21D14E7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生产厂家</w:t>
            </w:r>
          </w:p>
        </w:tc>
        <w:tc>
          <w:tcPr>
            <w:tcW w:w="1481" w:type="dxa"/>
            <w:vAlign w:val="center"/>
          </w:tcPr>
          <w:p w14:paraId="4BEEF47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规格型号</w:t>
            </w:r>
          </w:p>
        </w:tc>
        <w:tc>
          <w:tcPr>
            <w:tcW w:w="796" w:type="dxa"/>
            <w:vAlign w:val="center"/>
          </w:tcPr>
          <w:p w14:paraId="178D661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77" w:type="dxa"/>
            <w:gridSpan w:val="2"/>
            <w:vAlign w:val="center"/>
          </w:tcPr>
          <w:p w14:paraId="11147F5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单价</w:t>
            </w:r>
          </w:p>
          <w:p w14:paraId="194D59C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（元）</w:t>
            </w:r>
          </w:p>
        </w:tc>
        <w:tc>
          <w:tcPr>
            <w:tcW w:w="1289" w:type="dxa"/>
            <w:vAlign w:val="center"/>
          </w:tcPr>
          <w:p w14:paraId="2251C1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成交总价</w:t>
            </w:r>
            <w:r>
              <w:rPr>
                <w:rFonts w:hint="eastAsia" w:asciiTheme="minorEastAsia" w:hAnsiTheme="minorEastAsia" w:eastAsiaTheme="minorEastAsia" w:cstheme="minorEastAsia"/>
                <w:spacing w:val="0"/>
                <w:position w:val="0"/>
                <w:sz w:val="24"/>
                <w:szCs w:val="24"/>
                <w:highlight w:val="none"/>
              </w:rPr>
              <w:t>（元）</w:t>
            </w:r>
          </w:p>
        </w:tc>
        <w:tc>
          <w:tcPr>
            <w:tcW w:w="1096" w:type="dxa"/>
            <w:vAlign w:val="center"/>
          </w:tcPr>
          <w:p w14:paraId="4BF4609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彩超</w:t>
            </w: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总计（大写）：人民币</w:t>
            </w:r>
            <w:r>
              <w:rPr>
                <w:rFonts w:hint="eastAsia" w:asciiTheme="minorEastAsia" w:hAnsiTheme="minorEastAsia" w:eastAsiaTheme="minorEastAsia" w:cstheme="minorEastAsia"/>
                <w:spacing w:val="0"/>
                <w:position w:val="0"/>
                <w:sz w:val="24"/>
                <w:szCs w:val="24"/>
                <w:highlight w:val="none"/>
                <w:u w:val="single"/>
                <w:lang w:val="en-US" w:eastAsia="zh-CN"/>
              </w:rPr>
              <w:t xml:space="preserve">              元</w:t>
            </w:r>
            <w:r>
              <w:rPr>
                <w:rFonts w:hint="eastAsia" w:asciiTheme="minorEastAsia" w:hAnsiTheme="minorEastAsia" w:eastAsiaTheme="minorEastAsia" w:cstheme="minorEastAsia"/>
                <w:spacing w:val="0"/>
                <w:position w:val="0"/>
                <w:sz w:val="24"/>
                <w:szCs w:val="24"/>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小写</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p>
        </w:tc>
      </w:tr>
    </w:tbl>
    <w:p w14:paraId="0C20F152">
      <w:pPr>
        <w:shd w:val="clear"/>
        <w:spacing w:line="360" w:lineRule="auto"/>
        <w:rPr>
          <w:rFonts w:hint="eastAsia" w:asciiTheme="minorEastAsia" w:hAnsiTheme="minorEastAsia" w:eastAsiaTheme="minorEastAsia" w:cstheme="minorEastAsia"/>
          <w:b w:val="0"/>
          <w:bCs w:val="0"/>
          <w:color w:val="0000FF"/>
          <w:spacing w:val="0"/>
          <w:position w:val="0"/>
          <w:sz w:val="24"/>
          <w:szCs w:val="24"/>
          <w:highlight w:val="none"/>
        </w:rPr>
      </w:pPr>
    </w:p>
    <w:p w14:paraId="61A6B64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二、结算方式及付款</w:t>
      </w:r>
    </w:p>
    <w:p w14:paraId="1238340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1.设备安装验收合格后一个月内支付合同总价的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5919FB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2.设备的总价包括设备的配件及设备的运输、装卸、报关、税金（包括关税和增值税）、运杂保险、安装、调试、售后服务等一切费用。</w:t>
      </w:r>
    </w:p>
    <w:p w14:paraId="0AE72D3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3.付款方式：银行转账</w:t>
      </w:r>
    </w:p>
    <w:p w14:paraId="45A316B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开户行：</w:t>
      </w:r>
    </w:p>
    <w:p w14:paraId="44636DA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账 号：</w:t>
      </w:r>
    </w:p>
    <w:p w14:paraId="411D96B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4.此货款不得与第三方进行债权转让。</w:t>
      </w:r>
    </w:p>
    <w:p w14:paraId="62D6CB0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三、交货期：合同签</w:t>
      </w:r>
      <w:r>
        <w:rPr>
          <w:rFonts w:hint="eastAsia" w:asciiTheme="minorEastAsia" w:hAnsiTheme="minorEastAsia" w:eastAsiaTheme="minorEastAsia" w:cstheme="minorEastAsia"/>
          <w:b w:val="0"/>
          <w:bCs w:val="0"/>
          <w:spacing w:val="0"/>
          <w:position w:val="0"/>
          <w:sz w:val="24"/>
          <w:szCs w:val="24"/>
          <w:highlight w:val="none"/>
          <w:shd w:val="clear"/>
        </w:rPr>
        <w:t>订</w:t>
      </w:r>
      <w:r>
        <w:rPr>
          <w:rFonts w:hint="eastAsia" w:asciiTheme="minorEastAsia" w:hAnsiTheme="minorEastAsia" w:eastAsiaTheme="minorEastAsia" w:cstheme="minorEastAsia"/>
          <w:b w:val="0"/>
          <w:bCs w:val="0"/>
          <w:color w:val="0000FF"/>
          <w:spacing w:val="0"/>
          <w:position w:val="0"/>
          <w:sz w:val="24"/>
          <w:szCs w:val="24"/>
          <w:highlight w:val="none"/>
          <w:shd w:val="clear"/>
        </w:rPr>
        <w:t>后</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u w:val="single"/>
          <w:shd w:val="clear"/>
          <w:lang w:val="en-US" w:eastAsia="zh-CN"/>
        </w:rPr>
        <w:t>30</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shd w:val="clear"/>
        </w:rPr>
        <w:t>日</w:t>
      </w:r>
      <w:r>
        <w:rPr>
          <w:rFonts w:hint="eastAsia" w:asciiTheme="minorEastAsia" w:hAnsiTheme="minorEastAsia" w:eastAsiaTheme="minorEastAsia" w:cstheme="minorEastAsia"/>
          <w:b w:val="0"/>
          <w:bCs w:val="0"/>
          <w:spacing w:val="0"/>
          <w:position w:val="0"/>
          <w:sz w:val="24"/>
          <w:szCs w:val="24"/>
          <w:highlight w:val="none"/>
          <w:shd w:val="clear"/>
        </w:rPr>
        <w:t>内</w:t>
      </w:r>
      <w:r>
        <w:rPr>
          <w:rFonts w:hint="eastAsia" w:asciiTheme="minorEastAsia" w:hAnsiTheme="minorEastAsia" w:eastAsiaTheme="minorEastAsia" w:cstheme="minorEastAsia"/>
          <w:b w:val="0"/>
          <w:bCs w:val="0"/>
          <w:spacing w:val="0"/>
          <w:position w:val="0"/>
          <w:sz w:val="24"/>
          <w:szCs w:val="24"/>
          <w:highlight w:val="none"/>
        </w:rPr>
        <w:t>供货安装调试完毕</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乙方供货设备生产日期必须为合同签订前6个月内生产，否则甲方有权拒收。</w:t>
      </w:r>
    </w:p>
    <w:p w14:paraId="1E4C4FE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四、交货地点：</w:t>
      </w:r>
      <w:r>
        <w:rPr>
          <w:rFonts w:hint="eastAsia" w:asciiTheme="minorEastAsia" w:hAnsiTheme="minorEastAsia" w:eastAsiaTheme="minorEastAsia" w:cstheme="minorEastAsia"/>
          <w:b w:val="0"/>
          <w:bCs w:val="0"/>
          <w:spacing w:val="0"/>
          <w:position w:val="0"/>
          <w:sz w:val="24"/>
          <w:szCs w:val="24"/>
          <w:highlight w:val="none"/>
          <w:lang w:eastAsia="zh-CN"/>
        </w:rPr>
        <w:t>淮安市卫生健康委员会</w:t>
      </w:r>
      <w:r>
        <w:rPr>
          <w:rFonts w:hint="eastAsia" w:asciiTheme="minorEastAsia" w:hAnsiTheme="minorEastAsia" w:eastAsiaTheme="minorEastAsia" w:cstheme="minorEastAsia"/>
          <w:b w:val="0"/>
          <w:bCs w:val="0"/>
          <w:spacing w:val="0"/>
          <w:position w:val="0"/>
          <w:sz w:val="24"/>
          <w:szCs w:val="24"/>
          <w:highlight w:val="none"/>
          <w:lang w:val="en-US" w:eastAsia="zh-CN"/>
        </w:rPr>
        <w:t>指定地点</w:t>
      </w:r>
      <w:r>
        <w:rPr>
          <w:rFonts w:hint="eastAsia" w:asciiTheme="minorEastAsia" w:hAnsiTheme="minorEastAsia" w:eastAsiaTheme="minorEastAsia" w:cstheme="minorEastAsia"/>
          <w:b w:val="0"/>
          <w:bCs w:val="0"/>
          <w:spacing w:val="0"/>
          <w:position w:val="0"/>
          <w:sz w:val="24"/>
          <w:szCs w:val="24"/>
          <w:highlight w:val="none"/>
        </w:rPr>
        <w:t>。</w:t>
      </w:r>
    </w:p>
    <w:p w14:paraId="6AB7882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五、质保及维护期限：</w:t>
      </w:r>
      <w:r>
        <w:rPr>
          <w:rFonts w:hint="eastAsia" w:asciiTheme="minorEastAsia" w:hAnsiTheme="minorEastAsia" w:eastAsiaTheme="minorEastAsia" w:cstheme="minorEastAsia"/>
          <w:b w:val="0"/>
          <w:bCs w:val="0"/>
          <w:color w:val="0000FF"/>
          <w:spacing w:val="0"/>
          <w:position w:val="0"/>
          <w:sz w:val="24"/>
          <w:szCs w:val="24"/>
          <w:highlight w:val="none"/>
        </w:rPr>
        <w:t>上述硬件设备免费质保</w:t>
      </w:r>
      <w:r>
        <w:rPr>
          <w:rFonts w:hint="eastAsia" w:asciiTheme="minorEastAsia" w:hAnsiTheme="minorEastAsia" w:eastAsiaTheme="minorEastAsia" w:cstheme="minorEastAsia"/>
          <w:b w:val="0"/>
          <w:bCs w:val="0"/>
          <w:color w:val="0000FF"/>
          <w:spacing w:val="0"/>
          <w:position w:val="0"/>
          <w:sz w:val="24"/>
          <w:szCs w:val="24"/>
          <w:highlight w:val="none"/>
          <w:u w:val="single"/>
        </w:rPr>
        <w:t xml:space="preserve"> 3 </w:t>
      </w:r>
      <w:r>
        <w:rPr>
          <w:rFonts w:hint="eastAsia" w:asciiTheme="minorEastAsia" w:hAnsiTheme="minorEastAsia" w:eastAsiaTheme="minorEastAsia" w:cstheme="minorEastAsia"/>
          <w:b w:val="0"/>
          <w:bCs w:val="0"/>
          <w:color w:val="0000FF"/>
          <w:spacing w:val="0"/>
          <w:position w:val="0"/>
          <w:sz w:val="24"/>
          <w:szCs w:val="24"/>
          <w:highlight w:val="none"/>
        </w:rPr>
        <w:t>年</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以承诺为准）</w:t>
      </w:r>
      <w:r>
        <w:rPr>
          <w:rFonts w:hint="eastAsia" w:asciiTheme="minorEastAsia" w:hAnsiTheme="minorEastAsia" w:eastAsiaTheme="minorEastAsia" w:cstheme="minorEastAsia"/>
          <w:b w:val="0"/>
          <w:bCs w:val="0"/>
          <w:color w:val="0000FF"/>
          <w:spacing w:val="0"/>
          <w:position w:val="0"/>
          <w:sz w:val="24"/>
          <w:szCs w:val="24"/>
          <w:highlight w:val="none"/>
        </w:rPr>
        <w:t>，软件终身免费维护和升级到最新版本；保修期外乙方对硬件设备终身负责维修。</w:t>
      </w:r>
    </w:p>
    <w:p w14:paraId="1318D88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六、资质、质量要求及技术标准</w:t>
      </w:r>
    </w:p>
    <w:p w14:paraId="67F6443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w:t>
      </w:r>
      <w:r>
        <w:rPr>
          <w:rFonts w:hint="eastAsia" w:asciiTheme="minorEastAsia" w:hAnsiTheme="minorEastAsia" w:eastAsiaTheme="minorEastAsia" w:cstheme="minorEastAsia"/>
          <w:b w:val="0"/>
          <w:bCs w:val="0"/>
          <w:spacing w:val="0"/>
          <w:position w:val="0"/>
          <w:sz w:val="24"/>
          <w:szCs w:val="24"/>
          <w:highlight w:val="none"/>
          <w:lang w:eastAsia="zh-CN"/>
        </w:rPr>
        <w:t>接到</w:t>
      </w:r>
      <w:r>
        <w:rPr>
          <w:rFonts w:hint="eastAsia" w:asciiTheme="minorEastAsia" w:hAnsiTheme="minorEastAsia" w:eastAsiaTheme="minorEastAsia" w:cstheme="minorEastAsia"/>
          <w:b w:val="0"/>
          <w:bCs w:val="0"/>
          <w:spacing w:val="0"/>
          <w:position w:val="0"/>
          <w:sz w:val="24"/>
          <w:szCs w:val="24"/>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中技术参数不符，甲方有权报监管部门取消乙方的成交资格；甲方供货验收后发现乙方提供的设备与所投的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3964D56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422F0A9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3.乙方提供的设备及其外观、包装、运输应按国家规定或颁布标准执行，同时须满足产品彩页内容中所列全部规格、颜色、技术参数及功能要求和</w:t>
      </w:r>
      <w:r>
        <w:rPr>
          <w:rFonts w:hint="eastAsia" w:asciiTheme="minorEastAsia" w:hAnsiTheme="minorEastAsia" w:eastAsiaTheme="minorEastAsia" w:cstheme="minorEastAsia"/>
          <w:b w:val="0"/>
          <w:bCs w:val="0"/>
          <w:spacing w:val="0"/>
          <w:position w:val="0"/>
          <w:sz w:val="24"/>
          <w:szCs w:val="24"/>
          <w:highlight w:val="none"/>
          <w:lang w:eastAsia="zh-CN"/>
        </w:rPr>
        <w:t>投标人</w:t>
      </w:r>
      <w:r>
        <w:rPr>
          <w:rFonts w:hint="eastAsia" w:asciiTheme="minorEastAsia" w:hAnsiTheme="minorEastAsia" w:eastAsiaTheme="minorEastAsia" w:cstheme="minorEastAsia"/>
          <w:b w:val="0"/>
          <w:bCs w:val="0"/>
          <w:spacing w:val="0"/>
          <w:position w:val="0"/>
          <w:sz w:val="24"/>
          <w:szCs w:val="24"/>
          <w:highlight w:val="none"/>
        </w:rPr>
        <w:t>承诺的其它指标，并按要求提供相关证件，保证质量，否则由此引起的一切责任由乙方承担。</w:t>
      </w:r>
    </w:p>
    <w:p w14:paraId="750975E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七、设备到货、安装和验收要求</w:t>
      </w:r>
    </w:p>
    <w:p w14:paraId="3BF6287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1．设备到货时间，请乙方提前通知甲方，以便甲方安排好接收工作；设备安装验收时，乙方必须事先与甲方的设备处联系，并与设备处共同参与，否则引起的一切责任由乙方承担。</w:t>
      </w:r>
    </w:p>
    <w:p w14:paraId="27CA8CC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2．安装验收时，双方需一起现场开箱验货，按招标技术参数要求和</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b w:val="0"/>
          <w:bCs w:val="0"/>
          <w:color w:val="000000" w:themeColor="text1"/>
          <w:spacing w:val="0"/>
          <w:position w:val="0"/>
          <w:sz w:val="24"/>
          <w:szCs w:val="24"/>
          <w:highlight w:val="none"/>
          <w14:textFill>
            <w14:solidFill>
              <w14:schemeClr w14:val="tx1"/>
            </w14:solidFill>
          </w14:textFill>
        </w:rPr>
        <w:t>件退货</w:t>
      </w:r>
      <w:r>
        <w:rPr>
          <w:rFonts w:hint="eastAsia" w:asciiTheme="minorEastAsia" w:hAnsiTheme="minorEastAsia" w:eastAsiaTheme="minorEastAsia" w:cstheme="minorEastAsia"/>
          <w:b w:val="0"/>
          <w:bCs w:val="0"/>
          <w:spacing w:val="0"/>
          <w:position w:val="0"/>
          <w:sz w:val="24"/>
          <w:szCs w:val="24"/>
          <w:highlight w:val="none"/>
          <w:lang w:val="en-US" w:eastAsia="zh-CN"/>
        </w:rPr>
        <w:t>；</w:t>
      </w:r>
      <w:r>
        <w:rPr>
          <w:rFonts w:hint="eastAsia" w:asciiTheme="minorEastAsia" w:hAnsiTheme="minorEastAsia" w:eastAsiaTheme="minorEastAsia" w:cstheme="minorEastAsia"/>
          <w:b w:val="0"/>
          <w:bCs w:val="0"/>
          <w:spacing w:val="0"/>
          <w:position w:val="0"/>
          <w:sz w:val="24"/>
          <w:szCs w:val="24"/>
          <w:highlight w:val="none"/>
        </w:rPr>
        <w:t>不符合磋商文件中技术参数等要求造成的退货，本次合同</w:t>
      </w:r>
      <w:r>
        <w:rPr>
          <w:rFonts w:hint="eastAsia" w:asciiTheme="minorEastAsia" w:hAnsiTheme="minorEastAsia" w:eastAsiaTheme="minorEastAsia" w:cstheme="minorEastAsia"/>
          <w:b w:val="0"/>
          <w:bCs w:val="0"/>
          <w:spacing w:val="0"/>
          <w:position w:val="0"/>
          <w:sz w:val="24"/>
          <w:szCs w:val="24"/>
          <w:highlight w:val="none"/>
          <w:lang w:val="en-US" w:eastAsia="zh-CN"/>
        </w:rPr>
        <w:t>解除</w:t>
      </w:r>
      <w:r>
        <w:rPr>
          <w:rFonts w:hint="eastAsia" w:asciiTheme="minorEastAsia" w:hAnsiTheme="minorEastAsia" w:eastAsiaTheme="minorEastAsia" w:cstheme="minorEastAsia"/>
          <w:b w:val="0"/>
          <w:bCs w:val="0"/>
          <w:spacing w:val="0"/>
          <w:position w:val="0"/>
          <w:sz w:val="24"/>
          <w:szCs w:val="24"/>
          <w:highlight w:val="none"/>
        </w:rPr>
        <w:t>，乙方按照20%中标价赔偿给甲方</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lang w:val="en-US" w:eastAsia="zh-CN"/>
        </w:rPr>
        <w:t>并承担</w:t>
      </w:r>
      <w:r>
        <w:rPr>
          <w:rFonts w:hint="eastAsia" w:asciiTheme="minorEastAsia" w:hAnsiTheme="minorEastAsia" w:eastAsiaTheme="minorEastAsia" w:cstheme="minorEastAsia"/>
          <w:b w:val="0"/>
          <w:bCs w:val="0"/>
          <w:spacing w:val="0"/>
          <w:position w:val="0"/>
          <w:sz w:val="24"/>
          <w:szCs w:val="24"/>
          <w:highlight w:val="none"/>
        </w:rPr>
        <w:t>由此引起的一切损失。</w:t>
      </w:r>
    </w:p>
    <w:p w14:paraId="526DDDF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 设备安装须按设计方案进行，涉及工程项目乙方必须定期向甲方汇报工程进度，涉及隐蔽工程，</w:t>
      </w:r>
      <w:r>
        <w:rPr>
          <w:rFonts w:hint="eastAsia" w:asciiTheme="minorEastAsia" w:hAnsiTheme="minorEastAsia" w:eastAsiaTheme="minorEastAsia" w:cstheme="minorEastAsia"/>
          <w:b w:val="0"/>
          <w:bCs w:val="0"/>
          <w:spacing w:val="0"/>
          <w:position w:val="0"/>
          <w:sz w:val="24"/>
          <w:szCs w:val="24"/>
          <w:highlight w:val="none"/>
          <w:lang w:eastAsia="zh-CN"/>
        </w:rPr>
        <w:t>在</w:t>
      </w:r>
      <w:r>
        <w:rPr>
          <w:rFonts w:hint="eastAsia" w:asciiTheme="minorEastAsia" w:hAnsiTheme="minorEastAsia" w:eastAsiaTheme="minorEastAsia" w:cstheme="minorEastAsia"/>
          <w:b w:val="0"/>
          <w:bCs w:val="0"/>
          <w:spacing w:val="0"/>
          <w:position w:val="0"/>
          <w:sz w:val="24"/>
          <w:szCs w:val="24"/>
          <w:highlight w:val="none"/>
        </w:rPr>
        <w:t>将被下一工序所封闭前，乙方须通知甲方现场进行查勘确认。</w:t>
      </w:r>
    </w:p>
    <w:p w14:paraId="0B96F84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4．设备安装及施工时，乙方必须做好各项安全防护措施，确保安全施工、文明施工，若发生一切安全事故，全部责任与经济损失由乙方承担，与甲方无关。</w:t>
      </w:r>
    </w:p>
    <w:p w14:paraId="4A2FA07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5. 货物到医院至安装验收之前，由乙方负责保管和看护，若因保管和看护不当造成的一切责任与经济损失由乙方承担。</w:t>
      </w:r>
    </w:p>
    <w:p w14:paraId="6162931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6.如果乙方无理由拖延交货，</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每延误一天甲方有权按照1000元/天从应付款中扣除，延误超过3天甲方有权解除</w:t>
      </w:r>
      <w:r>
        <w:rPr>
          <w:rFonts w:hint="eastAsia" w:asciiTheme="minorEastAsia" w:hAnsiTheme="minorEastAsia" w:eastAsiaTheme="minorEastAsia" w:cstheme="minorEastAsia"/>
          <w:b w:val="0"/>
          <w:bCs w:val="0"/>
          <w:color w:val="0000FF"/>
          <w:spacing w:val="0"/>
          <w:position w:val="0"/>
          <w:sz w:val="24"/>
          <w:szCs w:val="24"/>
          <w:highlight w:val="none"/>
        </w:rPr>
        <w:t>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并要求乙方承担违约责任</w:t>
      </w:r>
      <w:r>
        <w:rPr>
          <w:rFonts w:hint="eastAsia" w:asciiTheme="minorEastAsia" w:hAnsiTheme="minorEastAsia" w:eastAsiaTheme="minorEastAsia" w:cstheme="minorEastAsia"/>
          <w:b w:val="0"/>
          <w:bCs w:val="0"/>
          <w:color w:val="0000FF"/>
          <w:spacing w:val="0"/>
          <w:position w:val="0"/>
          <w:sz w:val="24"/>
          <w:szCs w:val="24"/>
          <w:highlight w:val="none"/>
        </w:rPr>
        <w:t>。</w:t>
      </w:r>
    </w:p>
    <w:p w14:paraId="1CC6591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解除</w:t>
      </w:r>
      <w:r>
        <w:rPr>
          <w:rFonts w:hint="eastAsia" w:asciiTheme="minorEastAsia" w:hAnsiTheme="minorEastAsia" w:eastAsiaTheme="minorEastAsia" w:cstheme="minorEastAsia"/>
          <w:b w:val="0"/>
          <w:bCs w:val="0"/>
          <w:color w:val="0000FF"/>
          <w:spacing w:val="0"/>
          <w:position w:val="0"/>
          <w:sz w:val="24"/>
          <w:szCs w:val="24"/>
          <w:highlight w:val="none"/>
        </w:rPr>
        <w:t>合同。</w:t>
      </w:r>
    </w:p>
    <w:p w14:paraId="742BA47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八、售后服务要求</w:t>
      </w:r>
    </w:p>
    <w:p w14:paraId="342665B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0084193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2．乙方在接到甲方设备出现故障报修电话时应即时作出响应，在收到甲方维修申请后 24 小时内赴现场排除故障，在 48 小时内无法修复，则免费提供备用机给甲方使用，直至故障机修复。</w:t>
      </w:r>
    </w:p>
    <w:p w14:paraId="5AA806F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22E46B0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50C05BA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九、技术培训</w:t>
      </w:r>
    </w:p>
    <w:p w14:paraId="4F50600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在安装过程中或安装结束后，乙方工程师或有关人员有义务对甲方工程师和操作人员进行现场维修、保养、操作培训，解答甲方人员提出的问题。</w:t>
      </w:r>
    </w:p>
    <w:p w14:paraId="6A2F0AA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十、合同解除及违约责任</w:t>
      </w:r>
    </w:p>
    <w:p w14:paraId="2984B87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合同生效后，如因预供货物物品、设备、辅材出现品质缺陷</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第三人的不当处置</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乙方不能完全履行合同义务</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乙方非因不可抗力要求解除合同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等</w:t>
      </w:r>
      <w:r>
        <w:rPr>
          <w:rFonts w:hint="eastAsia" w:asciiTheme="minorEastAsia" w:hAnsiTheme="minorEastAsia" w:eastAsiaTheme="minorEastAsia" w:cstheme="minorEastAsia"/>
          <w:b w:val="0"/>
          <w:bCs w:val="0"/>
          <w:color w:val="0000FF"/>
          <w:spacing w:val="0"/>
          <w:position w:val="0"/>
          <w:sz w:val="24"/>
          <w:szCs w:val="24"/>
          <w:highlight w:val="none"/>
        </w:rPr>
        <w:t>乙方违约</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行为，导致合同解除的</w:t>
      </w:r>
      <w:r>
        <w:rPr>
          <w:rFonts w:hint="eastAsia" w:asciiTheme="minorEastAsia" w:hAnsiTheme="minorEastAsia" w:eastAsiaTheme="minorEastAsia" w:cstheme="minorEastAsia"/>
          <w:b w:val="0"/>
          <w:bCs w:val="0"/>
          <w:color w:val="0000FF"/>
          <w:spacing w:val="0"/>
          <w:position w:val="0"/>
          <w:sz w:val="24"/>
          <w:szCs w:val="24"/>
          <w:highlight w:val="none"/>
        </w:rPr>
        <w:t>，应当向甲方支付合同总价款</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2</w:t>
      </w:r>
      <w:r>
        <w:rPr>
          <w:rFonts w:hint="eastAsia" w:asciiTheme="minorEastAsia" w:hAnsiTheme="minorEastAsia" w:eastAsiaTheme="minorEastAsia" w:cstheme="minorEastAsia"/>
          <w:b w:val="0"/>
          <w:bCs w:val="0"/>
          <w:color w:val="0000FF"/>
          <w:spacing w:val="0"/>
          <w:position w:val="0"/>
          <w:sz w:val="24"/>
          <w:szCs w:val="24"/>
          <w:highlight w:val="none"/>
        </w:rPr>
        <w:t>0%的违约金</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甲方有权要求乙方除承担违约责任外对造成损失部分予以赔偿。</w:t>
      </w:r>
    </w:p>
    <w:p w14:paraId="62D251F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十一、争议解决</w:t>
      </w:r>
    </w:p>
    <w:p w14:paraId="30422A6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17D39F0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该设备甲方磋商文件及乙方提供的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、承诺书及其它资料（技术参数、配置清单、耗材报价清单等）均作为本合同的附件，与本</w:t>
      </w:r>
      <w:r>
        <w:rPr>
          <w:rFonts w:hint="eastAsia" w:asciiTheme="minorEastAsia" w:hAnsiTheme="minorEastAsia" w:eastAsiaTheme="minorEastAsia" w:cstheme="minorEastAsia"/>
          <w:b w:val="0"/>
          <w:bCs w:val="0"/>
          <w:spacing w:val="0"/>
          <w:position w:val="0"/>
          <w:sz w:val="24"/>
          <w:szCs w:val="24"/>
          <w:highlight w:val="none"/>
          <w:lang w:eastAsia="zh-CN"/>
        </w:rPr>
        <w:t>合同</w:t>
      </w:r>
      <w:r>
        <w:rPr>
          <w:rFonts w:hint="eastAsia" w:asciiTheme="minorEastAsia" w:hAnsiTheme="minorEastAsia" w:eastAsiaTheme="minorEastAsia" w:cstheme="minorEastAsia"/>
          <w:b w:val="0"/>
          <w:bCs w:val="0"/>
          <w:spacing w:val="0"/>
          <w:position w:val="0"/>
          <w:sz w:val="24"/>
          <w:szCs w:val="24"/>
          <w:highlight w:val="none"/>
        </w:rPr>
        <w:t>具有同等法律效力，是交货、安装、验收、保修及解决纠纷</w:t>
      </w:r>
      <w:r>
        <w:rPr>
          <w:rFonts w:hint="eastAsia" w:asciiTheme="minorEastAsia" w:hAnsiTheme="minorEastAsia" w:eastAsiaTheme="minorEastAsia" w:cstheme="minorEastAsia"/>
          <w:b w:val="0"/>
          <w:bCs w:val="0"/>
          <w:spacing w:val="0"/>
          <w:position w:val="0"/>
          <w:sz w:val="24"/>
          <w:szCs w:val="24"/>
          <w:highlight w:val="none"/>
          <w:lang w:eastAsia="zh-CN"/>
        </w:rPr>
        <w:t>的依据</w:t>
      </w:r>
      <w:r>
        <w:rPr>
          <w:rFonts w:hint="eastAsia" w:asciiTheme="minorEastAsia" w:hAnsiTheme="minorEastAsia" w:eastAsiaTheme="minorEastAsia" w:cstheme="minorEastAsia"/>
          <w:b w:val="0"/>
          <w:bCs w:val="0"/>
          <w:spacing w:val="0"/>
          <w:position w:val="0"/>
          <w:sz w:val="24"/>
          <w:szCs w:val="24"/>
          <w:highlight w:val="none"/>
        </w:rPr>
        <w:t>。</w:t>
      </w:r>
    </w:p>
    <w:p w14:paraId="7195EBE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49B2A9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十二、合同生效</w:t>
      </w:r>
    </w:p>
    <w:p w14:paraId="1099FF3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本合同一式五份，甲方执贰份，乙方执贰份，代理机构执壹份。合同经双方盖章签字后生效。</w:t>
      </w:r>
    </w:p>
    <w:p w14:paraId="72FC8E64">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5E5B45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甲   方：                       乙方：</w:t>
      </w:r>
    </w:p>
    <w:p w14:paraId="6C394AE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代理人签字：                    代理人签字：</w:t>
      </w:r>
    </w:p>
    <w:p w14:paraId="1595CC1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联系电话：                      联系电话：</w:t>
      </w:r>
    </w:p>
    <w:p w14:paraId="55E50E9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地址：                          地址：           </w:t>
      </w:r>
    </w:p>
    <w:p w14:paraId="0BCA0F8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13" w:type="default"/>
          <w:pgSz w:w="11906" w:h="16839"/>
          <w:pgMar w:top="1440" w:right="1080" w:bottom="1440" w:left="1080" w:header="866" w:footer="994" w:gutter="0"/>
          <w:pgNumType w:fmt="decimal"/>
          <w:cols w:space="720" w:num="1"/>
        </w:sectPr>
      </w:pPr>
      <w:r>
        <w:rPr>
          <w:rFonts w:hint="eastAsia" w:asciiTheme="minorEastAsia" w:hAnsiTheme="minorEastAsia" w:eastAsiaTheme="minorEastAsia" w:cstheme="minorEastAsia"/>
          <w:spacing w:val="0"/>
          <w:position w:val="0"/>
          <w:sz w:val="24"/>
          <w:szCs w:val="24"/>
          <w:highlight w:val="none"/>
          <w:lang w:val="en-US" w:eastAsia="zh-CN"/>
        </w:rPr>
        <w:t xml:space="preserve"> 年   月   日                    年  月   日</w:t>
      </w:r>
    </w:p>
    <w:p w14:paraId="6CA34C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206" w:name="_GoBack"/>
      <w:bookmarkEnd w:id="206"/>
      <w:bookmarkStart w:id="28" w:name="bookmark5"/>
      <w:bookmarkEnd w:id="28"/>
      <w:bookmarkStart w:id="29" w:name="bookmark11"/>
      <w:bookmarkEnd w:id="29"/>
      <w:bookmarkStart w:id="30" w:name="_Toc30354"/>
      <w:r>
        <w:rPr>
          <w:rFonts w:hint="eastAsia" w:ascii="黑体" w:hAnsi="黑体" w:eastAsia="黑体" w:cs="黑体"/>
          <w:b w:val="0"/>
          <w:bCs w:val="0"/>
          <w:spacing w:val="0"/>
          <w:position w:val="0"/>
          <w:sz w:val="35"/>
          <w:szCs w:val="35"/>
          <w:highlight w:val="none"/>
        </w:rPr>
        <w:t>第五章 项目采购需求</w:t>
      </w:r>
      <w:bookmarkEnd w:id="30"/>
    </w:p>
    <w:p w14:paraId="5A89F2D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一、设备清单</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p>
    <w:tbl>
      <w:tblPr>
        <w:tblStyle w:val="13"/>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序号</w:t>
            </w:r>
          </w:p>
        </w:tc>
        <w:tc>
          <w:tcPr>
            <w:tcW w:w="3599" w:type="dxa"/>
            <w:vAlign w:val="center"/>
          </w:tcPr>
          <w:p w14:paraId="58DEEC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单位名称</w:t>
            </w:r>
          </w:p>
        </w:tc>
        <w:tc>
          <w:tcPr>
            <w:tcW w:w="2839" w:type="dxa"/>
            <w:shd w:val="clear" w:color="auto" w:fill="auto"/>
            <w:vAlign w:val="center"/>
          </w:tcPr>
          <w:p w14:paraId="41B45875">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设备名称</w:t>
            </w:r>
          </w:p>
        </w:tc>
        <w:tc>
          <w:tcPr>
            <w:tcW w:w="1428" w:type="dxa"/>
            <w:shd w:val="clear" w:color="auto" w:fill="auto"/>
            <w:vAlign w:val="center"/>
          </w:tcPr>
          <w:p w14:paraId="18812BA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w:t>
            </w:r>
          </w:p>
        </w:tc>
        <w:tc>
          <w:tcPr>
            <w:tcW w:w="1480" w:type="dxa"/>
            <w:shd w:val="clear" w:color="auto" w:fill="auto"/>
            <w:vAlign w:val="center"/>
          </w:tcPr>
          <w:p w14:paraId="6269CF1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c>
          <w:tcPr>
            <w:tcW w:w="3599" w:type="dxa"/>
            <w:shd w:val="clear" w:color="auto" w:fill="auto"/>
            <w:vAlign w:val="center"/>
          </w:tcPr>
          <w:p w14:paraId="4B48D34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淮安市第一人民医院分院</w:t>
            </w:r>
          </w:p>
        </w:tc>
        <w:tc>
          <w:tcPr>
            <w:tcW w:w="2839" w:type="dxa"/>
            <w:shd w:val="clear" w:color="auto" w:fill="auto"/>
            <w:vAlign w:val="center"/>
          </w:tcPr>
          <w:p w14:paraId="223F6CE4">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全数字化彩色多普勒超声诊断系统</w:t>
            </w:r>
          </w:p>
        </w:tc>
        <w:tc>
          <w:tcPr>
            <w:tcW w:w="1428" w:type="dxa"/>
            <w:shd w:val="clear" w:color="auto" w:fill="auto"/>
            <w:vAlign w:val="center"/>
          </w:tcPr>
          <w:p w14:paraId="274F64EC">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套</w:t>
            </w:r>
          </w:p>
        </w:tc>
        <w:tc>
          <w:tcPr>
            <w:tcW w:w="1480" w:type="dxa"/>
            <w:shd w:val="clear" w:color="auto" w:fill="auto"/>
            <w:vAlign w:val="center"/>
          </w:tcPr>
          <w:p w14:paraId="2AA69179">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r>
    </w:tbl>
    <w:p w14:paraId="5DEF6B3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p>
    <w:p w14:paraId="0C86A68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二、拟采购标的需要满足的技术要求</w:t>
      </w:r>
    </w:p>
    <w:p w14:paraId="3AB522D9">
      <w:pPr>
        <w:keepNext w:val="0"/>
        <w:keepLines w:val="0"/>
        <w:pageBreakBefore w:val="0"/>
        <w:numPr>
          <w:ilvl w:val="0"/>
          <w:numId w:val="0"/>
        </w:numPr>
        <w:shd w:val="clear"/>
        <w:wordWrap/>
        <w:overflowPunct/>
        <w:topLinePunct w:val="0"/>
        <w:bidi w:val="0"/>
        <w:adjustRightInd w:val="0"/>
        <w:snapToGrid w:val="0"/>
        <w:spacing w:line="480" w:lineRule="exact"/>
        <w:ind w:left="480" w:hanging="482" w:hangingChars="2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淮安市卫生健康委员会医疗设备集中采购项目 彩超  十一标段</w:t>
      </w:r>
    </w:p>
    <w:p w14:paraId="4EE43865">
      <w:pPr>
        <w:keepNext w:val="0"/>
        <w:keepLines w:val="0"/>
        <w:pageBreakBefore w:val="0"/>
        <w:wordWrap/>
        <w:overflowPunct/>
        <w:topLinePunct w:val="0"/>
        <w:bidi w:val="0"/>
        <w:adjustRightInd w:val="0"/>
        <w:snapToGrid w:val="0"/>
        <w:spacing w:line="480" w:lineRule="exact"/>
        <w:ind w:left="480" w:hanging="480" w:hangingChars="200"/>
        <w:textAlignment w:val="baseline"/>
        <w:rPr>
          <w:rFonts w:hint="default"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仿宋" w:hAnsi="仿宋" w:eastAsia="仿宋" w:cs="仿宋"/>
          <w:color w:val="000000"/>
          <w:sz w:val="24"/>
          <w:szCs w:val="24"/>
          <w:lang w:val="en-US" w:eastAsia="zh-CN"/>
        </w:rPr>
        <w:t xml:space="preserve"> </w:t>
      </w:r>
      <w:r>
        <w:rPr>
          <w:rFonts w:hint="eastAsia" w:asciiTheme="minorEastAsia" w:hAnsiTheme="minorEastAsia" w:eastAsiaTheme="minorEastAsia" w:cstheme="minorEastAsia"/>
          <w:b/>
          <w:bCs/>
          <w:snapToGrid/>
          <w:kern w:val="0"/>
          <w:sz w:val="24"/>
          <w:szCs w:val="24"/>
          <w:highlight w:val="none"/>
          <w:lang w:eastAsia="zh-CN" w:bidi="ar"/>
        </w:rPr>
        <w:t>（</w:t>
      </w:r>
      <w:r>
        <w:rPr>
          <w:rFonts w:hint="eastAsia" w:asciiTheme="minorEastAsia" w:hAnsiTheme="minorEastAsia" w:eastAsiaTheme="minorEastAsia" w:cstheme="minorEastAsia"/>
          <w:b/>
          <w:bCs/>
          <w:spacing w:val="0"/>
          <w:position w:val="0"/>
          <w:sz w:val="24"/>
          <w:szCs w:val="24"/>
          <w:highlight w:val="none"/>
          <w:vertAlign w:val="baseline"/>
          <w:lang w:val="en-US" w:eastAsia="zh-CN"/>
        </w:rPr>
        <w:t>一）基础配置要求：</w:t>
      </w:r>
      <w:r>
        <w:rPr>
          <w:rFonts w:hint="eastAsia" w:asciiTheme="minorEastAsia" w:hAnsiTheme="minorEastAsia" w:eastAsiaTheme="minorEastAsia" w:cstheme="minorEastAsia"/>
          <w:b/>
          <w:bCs/>
          <w:spacing w:val="0"/>
          <w:position w:val="0"/>
          <w:sz w:val="24"/>
          <w:szCs w:val="24"/>
          <w:highlight w:val="none"/>
          <w:vertAlign w:val="baseline"/>
          <w:lang w:val="en-US" w:eastAsia="zh-CN"/>
        </w:rPr>
        <w:br w:type="textWrapping"/>
      </w: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w:t>
      </w:r>
      <w:r>
        <w:rPr>
          <w:rFonts w:hint="eastAsia" w:asciiTheme="minorEastAsia" w:hAnsiTheme="minorEastAsia" w:eastAsiaTheme="minorEastAsia" w:cstheme="minorEastAsia"/>
          <w:b/>
          <w:bCs/>
          <w:spacing w:val="0"/>
          <w:position w:val="0"/>
          <w:sz w:val="24"/>
          <w:szCs w:val="24"/>
          <w:highlight w:val="none"/>
          <w:vertAlign w:val="baseline"/>
          <w:lang w:val="en-US" w:eastAsia="zh-CN"/>
        </w:rPr>
        <w:t>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2755"/>
        <w:gridCol w:w="1755"/>
        <w:gridCol w:w="4047"/>
      </w:tblGrid>
      <w:tr w14:paraId="616D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C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序号</w:t>
            </w:r>
          </w:p>
        </w:tc>
        <w:tc>
          <w:tcPr>
            <w:tcW w:w="2755" w:type="dxa"/>
            <w:vAlign w:val="center"/>
          </w:tcPr>
          <w:p w14:paraId="616D4FC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名称</w:t>
            </w:r>
          </w:p>
        </w:tc>
        <w:tc>
          <w:tcPr>
            <w:tcW w:w="1755" w:type="dxa"/>
            <w:vAlign w:val="center"/>
          </w:tcPr>
          <w:p w14:paraId="616D4FD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数量</w:t>
            </w:r>
          </w:p>
        </w:tc>
        <w:tc>
          <w:tcPr>
            <w:tcW w:w="4047" w:type="dxa"/>
            <w:vAlign w:val="center"/>
          </w:tcPr>
          <w:p w14:paraId="616D4FD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备注</w:t>
            </w:r>
          </w:p>
        </w:tc>
      </w:tr>
      <w:tr w14:paraId="616D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D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1</w:t>
            </w:r>
          </w:p>
        </w:tc>
        <w:tc>
          <w:tcPr>
            <w:tcW w:w="2755" w:type="dxa"/>
            <w:vAlign w:val="center"/>
          </w:tcPr>
          <w:p w14:paraId="616D4FD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主机</w:t>
            </w:r>
          </w:p>
        </w:tc>
        <w:tc>
          <w:tcPr>
            <w:tcW w:w="1755" w:type="dxa"/>
            <w:vAlign w:val="center"/>
          </w:tcPr>
          <w:p w14:paraId="616D4FD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val="en-US" w:eastAsia="zh-CN"/>
              </w:rPr>
              <w:t>1</w:t>
            </w:r>
            <w:r>
              <w:rPr>
                <w:rFonts w:hint="eastAsia" w:ascii="Calibri" w:hAnsi="Calibri" w:eastAsia="宋体" w:cs="宋体"/>
                <w:snapToGrid/>
                <w:kern w:val="2"/>
                <w:sz w:val="24"/>
                <w:szCs w:val="24"/>
                <w:lang w:eastAsia="zh-CN"/>
              </w:rPr>
              <w:t>台</w:t>
            </w:r>
          </w:p>
        </w:tc>
        <w:tc>
          <w:tcPr>
            <w:tcW w:w="4047" w:type="dxa"/>
            <w:vAlign w:val="center"/>
          </w:tcPr>
          <w:p w14:paraId="616D4FD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p>
        </w:tc>
      </w:tr>
      <w:tr w14:paraId="616D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D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2</w:t>
            </w:r>
          </w:p>
        </w:tc>
        <w:tc>
          <w:tcPr>
            <w:tcW w:w="2755" w:type="dxa"/>
            <w:vAlign w:val="center"/>
          </w:tcPr>
          <w:p w14:paraId="616D4FD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探头</w:t>
            </w:r>
          </w:p>
        </w:tc>
        <w:tc>
          <w:tcPr>
            <w:tcW w:w="1755" w:type="dxa"/>
            <w:vAlign w:val="center"/>
          </w:tcPr>
          <w:p w14:paraId="616D4FD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val="en-US" w:eastAsia="zh-CN"/>
              </w:rPr>
              <w:t>5</w:t>
            </w:r>
            <w:r>
              <w:rPr>
                <w:rFonts w:hint="eastAsia" w:ascii="Calibri" w:hAnsi="Calibri" w:eastAsia="宋体" w:cs="宋体"/>
                <w:snapToGrid/>
                <w:kern w:val="2"/>
                <w:sz w:val="24"/>
                <w:szCs w:val="24"/>
                <w:lang w:eastAsia="zh-CN"/>
              </w:rPr>
              <w:t>把</w:t>
            </w:r>
          </w:p>
        </w:tc>
        <w:tc>
          <w:tcPr>
            <w:tcW w:w="4047" w:type="dxa"/>
            <w:vAlign w:val="center"/>
          </w:tcPr>
          <w:p w14:paraId="616D4FD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五把探头（凸阵探头、线阵探头、相控阵探头、腔内探头、双平面探头各一把）</w:t>
            </w:r>
          </w:p>
        </w:tc>
      </w:tr>
    </w:tbl>
    <w:p w14:paraId="5BAB4CF3">
      <w:pPr>
        <w:keepNext w:val="0"/>
        <w:keepLines w:val="0"/>
        <w:pageBreakBefore w:val="0"/>
        <w:wordWrap/>
        <w:overflowPunct/>
        <w:topLinePunct w:val="0"/>
        <w:bidi w:val="0"/>
        <w:adjustRightInd w:val="0"/>
        <w:snapToGrid w:val="0"/>
        <w:spacing w:line="480" w:lineRule="exact"/>
        <w:ind w:left="480" w:hanging="482" w:hangingChars="2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p>
    <w:p w14:paraId="350DEB96">
      <w:pPr>
        <w:keepNext w:val="0"/>
        <w:keepLines w:val="0"/>
        <w:pageBreakBefore w:val="0"/>
        <w:wordWrap/>
        <w:overflowPunct/>
        <w:topLinePunct w:val="0"/>
        <w:bidi w:val="0"/>
        <w:adjustRightInd w:val="0"/>
        <w:snapToGrid w:val="0"/>
        <w:spacing w:line="480" w:lineRule="exact"/>
        <w:ind w:left="482" w:leftChars="115" w:hanging="241" w:hanging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2.设备用途：</w:t>
      </w: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主要用于腹部、妇产、胎儿心脏、成人心脏、血管、浅表小器官、肌骨、神</w:t>
      </w:r>
    </w:p>
    <w:p w14:paraId="17E5E451">
      <w:pPr>
        <w:keepNext w:val="0"/>
        <w:keepLines w:val="0"/>
        <w:pageBreakBefore w:val="0"/>
        <w:wordWrap/>
        <w:overflowPunct/>
        <w:topLinePunct w:val="0"/>
        <w:bidi w:val="0"/>
        <w:adjustRightInd w:val="0"/>
        <w:snapToGrid w:val="0"/>
        <w:spacing w:line="480" w:lineRule="exact"/>
        <w:ind w:left="481" w:leftChars="115" w:hanging="240" w:hanging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经、泌尿、儿科、腔内、术中、介入、肛肠等方面的临床诊断、科研教学、疑难病例会诊</w:t>
      </w:r>
    </w:p>
    <w:p w14:paraId="00C27838">
      <w:pPr>
        <w:keepNext w:val="0"/>
        <w:keepLines w:val="0"/>
        <w:pageBreakBefore w:val="0"/>
        <w:wordWrap/>
        <w:overflowPunct/>
        <w:topLinePunct w:val="0"/>
        <w:bidi w:val="0"/>
        <w:adjustRightInd w:val="0"/>
        <w:snapToGrid w:val="0"/>
        <w:spacing w:line="480" w:lineRule="exact"/>
        <w:ind w:left="481" w:leftChars="115" w:hanging="240" w:hangingChars="1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工作，具备持续升级能力，可以满足临床应用需求的拓展。</w:t>
      </w:r>
    </w:p>
    <w:p w14:paraId="6263D51C">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（二）技术参数</w:t>
      </w:r>
    </w:p>
    <w:p w14:paraId="7FEE3450">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31" w:name="_Toc15386"/>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.1  彩色多普勒超声波诊断仪包括：</w:t>
      </w:r>
      <w:bookmarkEnd w:id="31"/>
    </w:p>
    <w:p w14:paraId="27724726">
      <w:pPr>
        <w:keepNext w:val="0"/>
        <w:keepLines w:val="0"/>
        <w:pageBreakBefore w:val="0"/>
        <w:widowControl w:val="0"/>
        <w:kinsoku/>
        <w:wordWrap/>
        <w:overflowPunct/>
        <w:topLinePunct w:val="0"/>
        <w:autoSpaceDE/>
        <w:autoSpaceDN/>
        <w:bidi w:val="0"/>
        <w:adjustRightInd/>
        <w:snapToGrid w:val="0"/>
        <w:spacing w:line="480" w:lineRule="exact"/>
        <w:ind w:left="1418" w:hanging="1620" w:hangingChars="675"/>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2" w:name="_Toc16519"/>
      <w:r>
        <w:rPr>
          <w:rFonts w:hint="eastAsia" w:ascii="宋体" w:hAnsi="宋体" w:eastAsia="宋体" w:cs="宋体"/>
          <w:kern w:val="2"/>
          <w:sz w:val="24"/>
          <w:szCs w:val="24"/>
          <w:lang w:val="en-US" w:eastAsia="zh-CN" w:bidi="ar-SA"/>
        </w:rPr>
        <w:t>2.1.1   ≥21英寸高分辨率监视器，分辨率≥1920×1080，具备自由臂设计，可实现</w:t>
      </w:r>
      <w:bookmarkEnd w:id="32"/>
    </w:p>
    <w:p w14:paraId="4E6CE068">
      <w:pPr>
        <w:keepNext w:val="0"/>
        <w:keepLines w:val="0"/>
        <w:pageBreakBefore w:val="0"/>
        <w:widowControl w:val="0"/>
        <w:kinsoku/>
        <w:wordWrap/>
        <w:overflowPunct/>
        <w:topLinePunct w:val="0"/>
        <w:autoSpaceDE/>
        <w:autoSpaceDN/>
        <w:bidi w:val="0"/>
        <w:adjustRightInd/>
        <w:snapToGrid w:val="0"/>
        <w:spacing w:line="480" w:lineRule="exact"/>
        <w:ind w:left="1418" w:hanging="1620" w:hangingChars="675"/>
        <w:jc w:val="left"/>
        <w:outlineLvl w:val="0"/>
        <w:rPr>
          <w:rFonts w:hint="default" w:ascii="宋体" w:hAnsi="宋体" w:eastAsia="宋体" w:cs="宋体"/>
          <w:kern w:val="2"/>
          <w:sz w:val="24"/>
          <w:szCs w:val="24"/>
          <w:lang w:val="en-US" w:eastAsia="zh-CN" w:bidi="ar-SA"/>
        </w:rPr>
      </w:pPr>
      <w:bookmarkStart w:id="33" w:name="_Toc18789"/>
      <w:r>
        <w:rPr>
          <w:rFonts w:hint="eastAsia" w:ascii="宋体" w:hAnsi="宋体" w:eastAsia="宋体" w:cs="宋体"/>
          <w:kern w:val="2"/>
          <w:sz w:val="24"/>
          <w:szCs w:val="24"/>
          <w:lang w:val="en-US" w:eastAsia="zh-CN" w:bidi="ar-SA"/>
        </w:rPr>
        <w:t>上下左右多方位调节；</w:t>
      </w:r>
      <w:bookmarkEnd w:id="33"/>
    </w:p>
    <w:p w14:paraId="1626596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4" w:name="_Toc27851"/>
      <w:r>
        <w:rPr>
          <w:rFonts w:hint="eastAsia" w:ascii="宋体" w:hAnsi="宋体" w:eastAsia="宋体" w:cs="宋体"/>
          <w:kern w:val="2"/>
          <w:sz w:val="24"/>
          <w:szCs w:val="24"/>
          <w:lang w:val="en-US" w:eastAsia="zh-CN" w:bidi="ar-SA"/>
        </w:rPr>
        <w:t>2.1.2   ≥9.5英寸彩色液晶触摸屏；</w:t>
      </w:r>
      <w:bookmarkEnd w:id="34"/>
    </w:p>
    <w:p w14:paraId="57104F92">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5" w:name="_Toc1864"/>
      <w:r>
        <w:rPr>
          <w:rFonts w:hint="eastAsia" w:ascii="宋体" w:hAnsi="宋体" w:eastAsia="宋体" w:cs="宋体"/>
          <w:kern w:val="2"/>
          <w:sz w:val="24"/>
          <w:szCs w:val="24"/>
          <w:lang w:val="en-US" w:eastAsia="zh-CN" w:bidi="ar-SA"/>
        </w:rPr>
        <w:t>2.1.3   操作面板可旋转，高度可调；</w:t>
      </w:r>
      <w:bookmarkEnd w:id="35"/>
    </w:p>
    <w:p w14:paraId="51F29083">
      <w:pPr>
        <w:keepNext w:val="0"/>
        <w:keepLines w:val="0"/>
        <w:pageBreakBefore w:val="0"/>
        <w:widowControl w:val="0"/>
        <w:kinsoku/>
        <w:wordWrap/>
        <w:overflowPunct/>
        <w:topLinePunct w:val="0"/>
        <w:autoSpaceDE/>
        <w:autoSpaceDN/>
        <w:bidi w:val="0"/>
        <w:adjustRightInd/>
        <w:snapToGrid w:val="0"/>
        <w:spacing w:line="480" w:lineRule="exact"/>
        <w:ind w:left="1470" w:hanging="1680" w:hangingChars="7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6" w:name="_Toc11698"/>
      <w:r>
        <w:rPr>
          <w:rFonts w:hint="eastAsia" w:ascii="宋体" w:hAnsi="宋体" w:eastAsia="宋体" w:cs="宋体"/>
          <w:kern w:val="2"/>
          <w:sz w:val="24"/>
          <w:szCs w:val="24"/>
          <w:lang w:val="en-US" w:eastAsia="zh-CN" w:bidi="ar-SA"/>
        </w:rPr>
        <w:t>2.1.4   数字化高分辨率二维灰阶成像单元；</w:t>
      </w:r>
      <w:bookmarkEnd w:id="36"/>
    </w:p>
    <w:p w14:paraId="1A914E7F">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7" w:name="_Toc3334"/>
      <w:r>
        <w:rPr>
          <w:rFonts w:hint="eastAsia" w:ascii="宋体" w:hAnsi="宋体" w:eastAsia="宋体" w:cs="宋体"/>
          <w:kern w:val="2"/>
          <w:sz w:val="24"/>
          <w:szCs w:val="24"/>
          <w:lang w:val="en-US" w:eastAsia="zh-CN" w:bidi="ar-SA"/>
        </w:rPr>
        <w:t>2.1.5   数字化高分辨率彩色多普勒血流成像单元；</w:t>
      </w:r>
      <w:bookmarkEnd w:id="37"/>
    </w:p>
    <w:p w14:paraId="07C69E5C">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8" w:name="_Toc6851"/>
      <w:r>
        <w:rPr>
          <w:rFonts w:hint="eastAsia" w:ascii="宋体" w:hAnsi="宋体" w:eastAsia="宋体" w:cs="宋体"/>
          <w:kern w:val="2"/>
          <w:sz w:val="24"/>
          <w:szCs w:val="24"/>
          <w:lang w:val="en-US" w:eastAsia="zh-CN" w:bidi="ar-SA"/>
        </w:rPr>
        <w:t>2.1.6   数字化能量多普勒血流成像单元；</w:t>
      </w:r>
      <w:bookmarkEnd w:id="38"/>
    </w:p>
    <w:p w14:paraId="6351104D">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39" w:name="_Toc17424"/>
      <w:r>
        <w:rPr>
          <w:rFonts w:hint="eastAsia" w:ascii="宋体" w:hAnsi="宋体" w:eastAsia="宋体" w:cs="宋体"/>
          <w:kern w:val="2"/>
          <w:sz w:val="24"/>
          <w:szCs w:val="24"/>
          <w:lang w:val="en-US" w:eastAsia="zh-CN" w:bidi="ar-SA"/>
        </w:rPr>
        <w:t>2.1.7   数字化频谱多普勒显示及分析单元；</w:t>
      </w:r>
      <w:bookmarkEnd w:id="39"/>
    </w:p>
    <w:p w14:paraId="77024614">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0" w:name="_Toc3982"/>
      <w:r>
        <w:rPr>
          <w:rFonts w:hint="eastAsia" w:ascii="宋体" w:hAnsi="宋体" w:eastAsia="宋体" w:cs="宋体"/>
          <w:kern w:val="2"/>
          <w:sz w:val="24"/>
          <w:szCs w:val="24"/>
          <w:lang w:val="en-US" w:eastAsia="zh-CN" w:bidi="ar-SA"/>
        </w:rPr>
        <w:t>2.1.8   数字化M型显示及分析单元；</w:t>
      </w:r>
      <w:bookmarkEnd w:id="40"/>
    </w:p>
    <w:p w14:paraId="3835F9E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1" w:name="_Toc23055"/>
      <w:r>
        <w:rPr>
          <w:rFonts w:hint="eastAsia" w:ascii="宋体" w:hAnsi="宋体" w:eastAsia="宋体" w:cs="宋体"/>
          <w:kern w:val="2"/>
          <w:sz w:val="24"/>
          <w:szCs w:val="24"/>
          <w:lang w:val="en-US" w:eastAsia="zh-CN" w:bidi="ar-SA"/>
        </w:rPr>
        <w:t>2.1.9   具备解剖M型技术，可360°旋转取样线角度及任意移动位置；</w:t>
      </w:r>
      <w:bookmarkEnd w:id="41"/>
    </w:p>
    <w:p w14:paraId="0297EF8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2" w:name="_Toc10763"/>
      <w:r>
        <w:rPr>
          <w:rFonts w:hint="eastAsia" w:ascii="宋体" w:hAnsi="宋体" w:eastAsia="宋体" w:cs="宋体"/>
          <w:kern w:val="2"/>
          <w:sz w:val="24"/>
          <w:szCs w:val="24"/>
          <w:lang w:val="en-US" w:eastAsia="zh-CN" w:bidi="ar-SA"/>
        </w:rPr>
        <w:t>2.1.9.1  图像冻结前后均可取M型；</w:t>
      </w:r>
      <w:bookmarkEnd w:id="42"/>
    </w:p>
    <w:p w14:paraId="673FBF85">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3" w:name="_Toc18505"/>
      <w:r>
        <w:rPr>
          <w:rFonts w:hint="eastAsia" w:ascii="宋体" w:hAnsi="宋体" w:eastAsia="宋体" w:cs="宋体"/>
          <w:kern w:val="2"/>
          <w:sz w:val="24"/>
          <w:szCs w:val="24"/>
          <w:lang w:val="en-US" w:eastAsia="zh-CN" w:bidi="ar-SA"/>
        </w:rPr>
        <w:t>▲2.1.9.2  M型取样线≥3条 ；</w:t>
      </w:r>
      <w:bookmarkEnd w:id="43"/>
      <w:r>
        <w:rPr>
          <w:rFonts w:hint="eastAsia" w:ascii="宋体" w:hAnsi="宋体" w:eastAsia="宋体" w:cs="宋体"/>
          <w:kern w:val="2"/>
          <w:sz w:val="24"/>
          <w:szCs w:val="24"/>
          <w:lang w:val="en-US" w:eastAsia="zh-CN" w:bidi="ar-SA"/>
        </w:rPr>
        <w:t xml:space="preserve">           </w:t>
      </w:r>
    </w:p>
    <w:p w14:paraId="5382EAA2">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4" w:name="_Toc11499"/>
      <w:r>
        <w:rPr>
          <w:rFonts w:hint="eastAsia" w:ascii="宋体" w:hAnsi="宋体" w:eastAsia="宋体" w:cs="宋体"/>
          <w:kern w:val="2"/>
          <w:sz w:val="24"/>
          <w:szCs w:val="24"/>
          <w:lang w:val="en-US" w:eastAsia="zh-CN" w:bidi="ar-SA"/>
        </w:rPr>
        <w:t>▲2.1.10 具备数字化连续多普勒显示及分析系统，支持凸阵、线阵、相控阵探头；</w:t>
      </w:r>
      <w:bookmarkEnd w:id="44"/>
    </w:p>
    <w:p w14:paraId="4AAF07BB">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5" w:name="_Toc17189"/>
      <w:r>
        <w:rPr>
          <w:rFonts w:hint="eastAsia" w:ascii="宋体" w:hAnsi="宋体" w:eastAsia="宋体" w:cs="宋体"/>
          <w:kern w:val="2"/>
          <w:sz w:val="24"/>
          <w:szCs w:val="24"/>
          <w:lang w:val="en-US" w:eastAsia="zh-CN" w:bidi="ar-SA"/>
        </w:rPr>
        <w:t>2.1.11  具备组织多普勒成像单元 ；</w:t>
      </w:r>
      <w:bookmarkEnd w:id="45"/>
      <w:r>
        <w:rPr>
          <w:rFonts w:hint="eastAsia" w:ascii="宋体" w:hAnsi="宋体" w:eastAsia="宋体" w:cs="宋体"/>
          <w:kern w:val="2"/>
          <w:sz w:val="24"/>
          <w:szCs w:val="24"/>
          <w:lang w:val="en-US" w:eastAsia="zh-CN" w:bidi="ar-SA"/>
        </w:rPr>
        <w:t xml:space="preserve"> </w:t>
      </w:r>
    </w:p>
    <w:p w14:paraId="59A5D839">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6" w:name="_Toc28040"/>
      <w:r>
        <w:rPr>
          <w:rFonts w:hint="eastAsia" w:ascii="宋体" w:hAnsi="宋体" w:eastAsia="宋体" w:cs="宋体"/>
          <w:kern w:val="2"/>
          <w:sz w:val="24"/>
          <w:szCs w:val="24"/>
          <w:lang w:val="en-US" w:eastAsia="zh-CN" w:bidi="ar-SA"/>
        </w:rPr>
        <w:t>2.1.12  具备空间复合成像技术（复合角度可调）；</w:t>
      </w:r>
      <w:bookmarkEnd w:id="46"/>
    </w:p>
    <w:p w14:paraId="5F3BDEB1">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7" w:name="_Toc15066"/>
      <w:r>
        <w:rPr>
          <w:rFonts w:hint="eastAsia" w:ascii="宋体" w:hAnsi="宋体" w:eastAsia="宋体" w:cs="宋体"/>
          <w:kern w:val="2"/>
          <w:sz w:val="24"/>
          <w:szCs w:val="24"/>
          <w:lang w:val="en-US" w:eastAsia="zh-CN" w:bidi="ar-SA"/>
        </w:rPr>
        <w:t>2.1.13  具备组织谐波成像功能，≥3种不同方式的组织谐波成像；</w:t>
      </w:r>
      <w:bookmarkEnd w:id="47"/>
    </w:p>
    <w:p w14:paraId="33C12AA8">
      <w:pPr>
        <w:keepNext w:val="0"/>
        <w:keepLines w:val="0"/>
        <w:pageBreakBefore w:val="0"/>
        <w:widowControl w:val="0"/>
        <w:kinsoku/>
        <w:wordWrap/>
        <w:overflowPunct/>
        <w:topLinePunct w:val="0"/>
        <w:autoSpaceDE/>
        <w:autoSpaceDN/>
        <w:bidi w:val="0"/>
        <w:adjustRightInd/>
        <w:snapToGrid w:val="0"/>
        <w:spacing w:line="480" w:lineRule="exact"/>
        <w:ind w:left="1418" w:hanging="1620" w:hangingChars="675"/>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48" w:name="_Toc29280"/>
      <w:r>
        <w:rPr>
          <w:rFonts w:hint="eastAsia" w:ascii="宋体" w:hAnsi="宋体" w:eastAsia="宋体" w:cs="宋体"/>
          <w:kern w:val="2"/>
          <w:sz w:val="24"/>
          <w:szCs w:val="24"/>
          <w:lang w:val="en-US" w:eastAsia="zh-CN" w:bidi="ar-SA"/>
        </w:rPr>
        <w:t>2.1.14  具备图像一键优化技术，可以一键快速优化二维图像、彩色图像、彩色取样</w:t>
      </w:r>
      <w:bookmarkEnd w:id="48"/>
    </w:p>
    <w:p w14:paraId="7791C7D0">
      <w:pPr>
        <w:keepNext w:val="0"/>
        <w:keepLines w:val="0"/>
        <w:pageBreakBefore w:val="0"/>
        <w:widowControl w:val="0"/>
        <w:kinsoku/>
        <w:wordWrap/>
        <w:overflowPunct/>
        <w:topLinePunct w:val="0"/>
        <w:autoSpaceDE/>
        <w:autoSpaceDN/>
        <w:bidi w:val="0"/>
        <w:adjustRightInd/>
        <w:snapToGrid w:val="0"/>
        <w:spacing w:line="480" w:lineRule="exact"/>
        <w:ind w:left="1418" w:hanging="1620" w:hangingChars="675"/>
        <w:jc w:val="left"/>
        <w:outlineLvl w:val="0"/>
        <w:rPr>
          <w:rFonts w:hint="eastAsia" w:ascii="宋体" w:hAnsi="宋体" w:eastAsia="宋体" w:cs="宋体"/>
          <w:kern w:val="2"/>
          <w:sz w:val="24"/>
          <w:szCs w:val="24"/>
          <w:lang w:val="en-US" w:eastAsia="zh-CN" w:bidi="ar-SA"/>
        </w:rPr>
      </w:pPr>
      <w:bookmarkStart w:id="49" w:name="_Toc7823"/>
      <w:r>
        <w:rPr>
          <w:rFonts w:hint="eastAsia" w:ascii="宋体" w:hAnsi="宋体" w:eastAsia="宋体" w:cs="宋体"/>
          <w:kern w:val="2"/>
          <w:sz w:val="24"/>
          <w:szCs w:val="24"/>
          <w:lang w:val="en-US" w:eastAsia="zh-CN" w:bidi="ar-SA"/>
        </w:rPr>
        <w:t>框位置、频谱图像、频谱取样门角度、取样门位置 ；</w:t>
      </w:r>
      <w:bookmarkEnd w:id="49"/>
    </w:p>
    <w:p w14:paraId="07836DA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50" w:name="_Toc20016"/>
      <w:r>
        <w:rPr>
          <w:rFonts w:hint="eastAsia" w:ascii="宋体" w:hAnsi="宋体" w:eastAsia="宋体" w:cs="宋体"/>
          <w:kern w:val="2"/>
          <w:sz w:val="24"/>
          <w:szCs w:val="24"/>
          <w:lang w:val="en-US" w:eastAsia="zh-CN" w:bidi="ar-SA"/>
        </w:rPr>
        <w:t xml:space="preserve">2.1.15  </w:t>
      </w:r>
      <w:bookmarkStart w:id="51" w:name="_Hlk191042735"/>
      <w:r>
        <w:rPr>
          <w:rFonts w:hint="eastAsia" w:ascii="宋体" w:hAnsi="宋体" w:eastAsia="宋体" w:cs="宋体"/>
          <w:kern w:val="2"/>
          <w:sz w:val="24"/>
          <w:szCs w:val="24"/>
          <w:lang w:val="en-US" w:eastAsia="zh-CN" w:bidi="ar-SA"/>
        </w:rPr>
        <w:t>具备自适应成像技术，智能化解析滤波技术，抑制图像斑点噪声，</w:t>
      </w:r>
      <w:bookmarkEnd w:id="51"/>
      <w:r>
        <w:rPr>
          <w:rFonts w:hint="eastAsia" w:ascii="宋体" w:hAnsi="宋体" w:eastAsia="宋体" w:cs="宋体"/>
          <w:kern w:val="2"/>
          <w:sz w:val="24"/>
          <w:szCs w:val="24"/>
          <w:lang w:val="en-US" w:eastAsia="zh-CN" w:bidi="ar-SA"/>
        </w:rPr>
        <w:t>可分级调</w:t>
      </w:r>
      <w:bookmarkEnd w:id="50"/>
    </w:p>
    <w:p w14:paraId="4DF33E58">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bookmarkStart w:id="52" w:name="_Toc23922"/>
      <w:r>
        <w:rPr>
          <w:rFonts w:hint="eastAsia" w:ascii="宋体" w:hAnsi="宋体" w:eastAsia="宋体" w:cs="宋体"/>
          <w:kern w:val="2"/>
          <w:sz w:val="24"/>
          <w:szCs w:val="24"/>
          <w:lang w:val="en-US" w:eastAsia="zh-CN" w:bidi="ar-SA"/>
        </w:rPr>
        <w:t>节≥8级  ；</w:t>
      </w:r>
      <w:bookmarkEnd w:id="52"/>
    </w:p>
    <w:p w14:paraId="0AD5ED7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53" w:name="_Toc25905"/>
      <w:r>
        <w:rPr>
          <w:rFonts w:hint="eastAsia" w:ascii="宋体" w:hAnsi="宋体" w:eastAsia="宋体" w:cs="宋体"/>
          <w:kern w:val="2"/>
          <w:sz w:val="24"/>
          <w:szCs w:val="24"/>
          <w:lang w:val="en-US" w:eastAsia="zh-CN" w:bidi="ar-SA"/>
        </w:rPr>
        <w:t>2.1.16  具备</w:t>
      </w:r>
      <w:bookmarkStart w:id="54" w:name="_Hlk216280258"/>
      <w:r>
        <w:rPr>
          <w:rFonts w:hint="eastAsia" w:ascii="宋体" w:hAnsi="宋体" w:eastAsia="宋体" w:cs="宋体"/>
          <w:kern w:val="2"/>
          <w:sz w:val="24"/>
          <w:szCs w:val="24"/>
          <w:lang w:val="en-US" w:eastAsia="zh-CN" w:bidi="ar-SA"/>
        </w:rPr>
        <w:t>声速校正</w:t>
      </w:r>
      <w:bookmarkEnd w:id="54"/>
      <w:r>
        <w:rPr>
          <w:rFonts w:hint="eastAsia" w:ascii="宋体" w:hAnsi="宋体" w:eastAsia="宋体" w:cs="宋体"/>
          <w:kern w:val="2"/>
          <w:sz w:val="24"/>
          <w:szCs w:val="24"/>
          <w:lang w:val="en-US" w:eastAsia="zh-CN" w:bidi="ar-SA"/>
        </w:rPr>
        <w:t>技术分级可调，并显示具体声速数值；</w:t>
      </w:r>
      <w:bookmarkEnd w:id="53"/>
    </w:p>
    <w:p w14:paraId="36BAC462">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55" w:name="_Toc15759"/>
      <w:r>
        <w:rPr>
          <w:rFonts w:hint="eastAsia" w:ascii="宋体" w:hAnsi="宋体" w:eastAsia="宋体" w:cs="宋体"/>
          <w:kern w:val="2"/>
          <w:sz w:val="24"/>
          <w:szCs w:val="24"/>
          <w:lang w:val="en-US" w:eastAsia="zh-CN" w:bidi="ar-SA"/>
        </w:rPr>
        <w:t>2.1.17  具备实时二同步/三同步显示技术；</w:t>
      </w:r>
      <w:bookmarkEnd w:id="55"/>
    </w:p>
    <w:p w14:paraId="1FF3C42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56" w:name="_Toc29966"/>
      <w:r>
        <w:rPr>
          <w:rFonts w:hint="eastAsia" w:ascii="宋体" w:hAnsi="宋体" w:eastAsia="宋体" w:cs="宋体"/>
          <w:kern w:val="2"/>
          <w:sz w:val="24"/>
          <w:szCs w:val="24"/>
          <w:lang w:val="en-US" w:eastAsia="zh-CN" w:bidi="ar-SA"/>
        </w:rPr>
        <w:t>2.1.18  具备梯形拓展成像功能，扩大扫查视野  ；</w:t>
      </w:r>
      <w:bookmarkEnd w:id="56"/>
    </w:p>
    <w:p w14:paraId="22E69BF3">
      <w:pPr>
        <w:keepNext w:val="0"/>
        <w:keepLines w:val="0"/>
        <w:pageBreakBefore w:val="0"/>
        <w:widowControl w:val="0"/>
        <w:kinsoku/>
        <w:wordWrap/>
        <w:overflowPunct/>
        <w:topLinePunct w:val="0"/>
        <w:autoSpaceDE/>
        <w:autoSpaceDN/>
        <w:bidi w:val="0"/>
        <w:adjustRightInd/>
        <w:snapToGrid w:val="0"/>
        <w:spacing w:line="480" w:lineRule="exact"/>
        <w:ind w:left="1418" w:hanging="1620" w:hangingChars="675"/>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57" w:name="_Toc7801"/>
      <w:r>
        <w:rPr>
          <w:rFonts w:hint="eastAsia" w:ascii="宋体" w:hAnsi="宋体" w:eastAsia="宋体" w:cs="宋体"/>
          <w:kern w:val="2"/>
          <w:sz w:val="24"/>
          <w:szCs w:val="24"/>
          <w:lang w:val="en-US" w:eastAsia="zh-CN" w:bidi="ar-SA"/>
        </w:rPr>
        <w:t xml:space="preserve">2.1.19  </w:t>
      </w:r>
      <w:bookmarkStart w:id="58" w:name="_Hlk188362501"/>
      <w:r>
        <w:rPr>
          <w:rFonts w:hint="eastAsia" w:ascii="宋体" w:hAnsi="宋体" w:eastAsia="宋体" w:cs="宋体"/>
          <w:kern w:val="2"/>
          <w:sz w:val="24"/>
          <w:szCs w:val="24"/>
          <w:lang w:val="en-US" w:eastAsia="zh-CN" w:bidi="ar-SA"/>
        </w:rPr>
        <w:t>具备高分辨率血流成像技术，高空间分辨率和时间分辨率显示血流信息，具</w:t>
      </w:r>
      <w:bookmarkEnd w:id="57"/>
    </w:p>
    <w:p w14:paraId="79D50DC6">
      <w:pPr>
        <w:keepNext w:val="0"/>
        <w:keepLines w:val="0"/>
        <w:pageBreakBefore w:val="0"/>
        <w:widowControl w:val="0"/>
        <w:kinsoku/>
        <w:wordWrap/>
        <w:overflowPunct/>
        <w:topLinePunct w:val="0"/>
        <w:autoSpaceDE/>
        <w:autoSpaceDN/>
        <w:bidi w:val="0"/>
        <w:adjustRightInd/>
        <w:snapToGrid w:val="0"/>
        <w:spacing w:line="480" w:lineRule="exact"/>
        <w:ind w:left="1418" w:hanging="1620" w:hangingChars="675"/>
        <w:jc w:val="left"/>
        <w:outlineLvl w:val="0"/>
        <w:rPr>
          <w:rFonts w:hint="eastAsia" w:ascii="宋体" w:hAnsi="宋体" w:eastAsia="宋体" w:cs="宋体"/>
          <w:kern w:val="2"/>
          <w:sz w:val="24"/>
          <w:szCs w:val="24"/>
          <w:lang w:val="en-US" w:eastAsia="zh-CN" w:bidi="ar-SA"/>
        </w:rPr>
      </w:pPr>
      <w:bookmarkStart w:id="59" w:name="_Toc15734"/>
      <w:r>
        <w:rPr>
          <w:rFonts w:hint="eastAsia" w:ascii="宋体" w:hAnsi="宋体" w:eastAsia="宋体" w:cs="宋体"/>
          <w:kern w:val="2"/>
          <w:sz w:val="24"/>
          <w:szCs w:val="24"/>
          <w:lang w:val="en-US" w:eastAsia="zh-CN" w:bidi="ar-SA"/>
        </w:rPr>
        <w:t>备方向性显示，可进行频谱测量</w:t>
      </w:r>
      <w:bookmarkEnd w:id="58"/>
      <w:r>
        <w:rPr>
          <w:rFonts w:hint="eastAsia" w:ascii="宋体" w:hAnsi="宋体" w:eastAsia="宋体" w:cs="宋体"/>
          <w:kern w:val="2"/>
          <w:sz w:val="24"/>
          <w:szCs w:val="24"/>
          <w:lang w:val="en-US" w:eastAsia="zh-CN" w:bidi="ar-SA"/>
        </w:rPr>
        <w:t>；</w:t>
      </w:r>
      <w:bookmarkEnd w:id="59"/>
    </w:p>
    <w:p w14:paraId="696D8D20">
      <w:pPr>
        <w:keepNext w:val="0"/>
        <w:keepLines w:val="0"/>
        <w:pageBreakBefore w:val="0"/>
        <w:widowControl w:val="0"/>
        <w:kinsoku/>
        <w:wordWrap/>
        <w:overflowPunct/>
        <w:topLinePunct w:val="0"/>
        <w:autoSpaceDE/>
        <w:autoSpaceDN/>
        <w:bidi w:val="0"/>
        <w:adjustRightInd/>
        <w:snapToGrid w:val="0"/>
        <w:spacing w:line="480" w:lineRule="exact"/>
        <w:ind w:left="630" w:hanging="720" w:hangingChars="3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60" w:name="_Toc11763"/>
      <w:r>
        <w:rPr>
          <w:rFonts w:hint="eastAsia" w:ascii="宋体" w:hAnsi="宋体" w:eastAsia="宋体" w:cs="宋体"/>
          <w:kern w:val="2"/>
          <w:sz w:val="24"/>
          <w:szCs w:val="24"/>
          <w:lang w:val="en-US" w:eastAsia="zh-CN" w:bidi="ar-SA"/>
        </w:rPr>
        <w:t>▲2.1.20  具备全域聚焦技术，图像无聚焦点或聚焦带，并可根据需求切换单焦点或多</w:t>
      </w:r>
      <w:bookmarkEnd w:id="60"/>
    </w:p>
    <w:p w14:paraId="75D60849">
      <w:pPr>
        <w:keepNext w:val="0"/>
        <w:keepLines w:val="0"/>
        <w:pageBreakBefore w:val="0"/>
        <w:widowControl w:val="0"/>
        <w:kinsoku/>
        <w:wordWrap/>
        <w:overflowPunct/>
        <w:topLinePunct w:val="0"/>
        <w:autoSpaceDE/>
        <w:autoSpaceDN/>
        <w:bidi w:val="0"/>
        <w:adjustRightInd/>
        <w:snapToGrid w:val="0"/>
        <w:spacing w:line="480" w:lineRule="exact"/>
        <w:ind w:left="630" w:hanging="720" w:hangingChars="300"/>
        <w:jc w:val="left"/>
        <w:outlineLvl w:val="0"/>
        <w:rPr>
          <w:rFonts w:hint="eastAsia" w:ascii="宋体" w:hAnsi="宋体" w:eastAsia="宋体" w:cs="宋体"/>
          <w:kern w:val="2"/>
          <w:sz w:val="24"/>
          <w:szCs w:val="24"/>
          <w:lang w:val="en-US" w:eastAsia="zh-CN" w:bidi="ar-SA"/>
        </w:rPr>
      </w:pPr>
      <w:bookmarkStart w:id="61" w:name="_Toc22156"/>
      <w:r>
        <w:rPr>
          <w:rFonts w:hint="eastAsia" w:ascii="宋体" w:hAnsi="宋体" w:eastAsia="宋体" w:cs="宋体"/>
          <w:kern w:val="2"/>
          <w:sz w:val="24"/>
          <w:szCs w:val="24"/>
          <w:lang w:val="en-US" w:eastAsia="zh-CN" w:bidi="ar-SA"/>
        </w:rPr>
        <w:t>焦点模式 ；</w:t>
      </w:r>
      <w:bookmarkEnd w:id="61"/>
      <w:r>
        <w:rPr>
          <w:rFonts w:hint="eastAsia" w:ascii="宋体" w:hAnsi="宋体" w:eastAsia="宋体" w:cs="宋体"/>
          <w:kern w:val="2"/>
          <w:sz w:val="24"/>
          <w:szCs w:val="24"/>
          <w:lang w:val="en-US" w:eastAsia="zh-CN" w:bidi="ar-SA"/>
        </w:rPr>
        <w:t xml:space="preserve">    </w:t>
      </w:r>
    </w:p>
    <w:p w14:paraId="5265F2F4">
      <w:pPr>
        <w:keepNext w:val="0"/>
        <w:keepLines w:val="0"/>
        <w:pageBreakBefore w:val="0"/>
        <w:widowControl w:val="0"/>
        <w:kinsoku/>
        <w:wordWrap/>
        <w:overflowPunct/>
        <w:topLinePunct w:val="0"/>
        <w:autoSpaceDE/>
        <w:autoSpaceDN/>
        <w:bidi w:val="0"/>
        <w:adjustRightInd/>
        <w:snapToGrid w:val="0"/>
        <w:spacing w:line="480" w:lineRule="exact"/>
        <w:ind w:left="719" w:leftChars="228" w:hanging="240" w:hangingChars="100"/>
        <w:jc w:val="left"/>
        <w:outlineLvl w:val="0"/>
        <w:rPr>
          <w:rFonts w:hint="eastAsia" w:ascii="宋体" w:hAnsi="宋体" w:eastAsia="宋体" w:cs="宋体"/>
          <w:kern w:val="2"/>
          <w:sz w:val="24"/>
          <w:szCs w:val="24"/>
          <w:lang w:val="en-US" w:eastAsia="zh-CN" w:bidi="ar-SA"/>
        </w:rPr>
      </w:pPr>
      <w:bookmarkStart w:id="62" w:name="_Toc1862"/>
      <w:r>
        <w:rPr>
          <w:rFonts w:hint="eastAsia" w:ascii="宋体" w:hAnsi="宋体" w:eastAsia="宋体" w:cs="宋体"/>
          <w:kern w:val="2"/>
          <w:sz w:val="24"/>
          <w:szCs w:val="24"/>
          <w:lang w:val="en-US" w:eastAsia="zh-CN" w:bidi="ar-SA"/>
        </w:rPr>
        <w:t>2.1.21  具备实时双幅同屏显示二维图像和慢放图像功能；</w:t>
      </w:r>
      <w:bookmarkEnd w:id="62"/>
    </w:p>
    <w:p w14:paraId="735DEF6A">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jc w:val="left"/>
        <w:textAlignment w:val="auto"/>
        <w:outlineLvl w:val="0"/>
        <w:rPr>
          <w:rFonts w:hint="eastAsia" w:ascii="宋体" w:hAnsi="宋体" w:eastAsia="宋体" w:cs="宋体"/>
          <w:snapToGrid/>
          <w:kern w:val="2"/>
          <w:sz w:val="24"/>
          <w:szCs w:val="24"/>
          <w:lang w:eastAsia="zh-CN"/>
        </w:rPr>
      </w:pPr>
      <w:bookmarkStart w:id="63" w:name="_Toc27514"/>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.1.22  具备实时多门多普勒功能，在同一心动周期内，可实时获取2个取样点的多普勒频谱，为临床提供更多血流动力学诊断信息</w:t>
      </w:r>
      <w:r>
        <w:rPr>
          <w:rFonts w:hint="eastAsia" w:ascii="宋体" w:hAnsi="宋体" w:eastAsia="宋体" w:cs="宋体"/>
          <w:kern w:val="2"/>
          <w:sz w:val="24"/>
          <w:szCs w:val="24"/>
          <w:lang w:val="en-US" w:eastAsia="zh-CN" w:bidi="ar-SA"/>
        </w:rPr>
        <w:t>；</w:t>
      </w:r>
      <w:bookmarkEnd w:id="63"/>
    </w:p>
    <w:p w14:paraId="377B0DFF">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64" w:name="_Toc14823"/>
      <w:r>
        <w:rPr>
          <w:rFonts w:hint="eastAsia" w:ascii="宋体" w:hAnsi="宋体" w:eastAsia="宋体" w:cs="宋体"/>
          <w:kern w:val="2"/>
          <w:sz w:val="24"/>
          <w:szCs w:val="24"/>
          <w:lang w:val="en-US" w:eastAsia="zh-CN" w:bidi="ar-SA"/>
        </w:rPr>
        <w:t xml:space="preserve">2.1.22.1  </w:t>
      </w:r>
      <w:bookmarkStart w:id="65" w:name="OLE_LINK3"/>
      <w:bookmarkStart w:id="66" w:name="OLE_LINK2"/>
      <w:r>
        <w:rPr>
          <w:rFonts w:hint="eastAsia" w:ascii="宋体" w:hAnsi="宋体" w:eastAsia="宋体" w:cs="宋体"/>
          <w:kern w:val="2"/>
          <w:sz w:val="24"/>
          <w:szCs w:val="24"/>
          <w:lang w:val="en-US" w:eastAsia="zh-CN" w:bidi="ar-SA"/>
        </w:rPr>
        <w:t>≥</w:t>
      </w:r>
      <w:bookmarkEnd w:id="65"/>
      <w:bookmarkEnd w:id="66"/>
      <w:r>
        <w:rPr>
          <w:rFonts w:hint="eastAsia" w:ascii="宋体" w:hAnsi="宋体" w:eastAsia="宋体" w:cs="宋体"/>
          <w:kern w:val="2"/>
          <w:sz w:val="24"/>
          <w:szCs w:val="24"/>
          <w:lang w:val="en-US" w:eastAsia="zh-CN" w:bidi="ar-SA"/>
        </w:rPr>
        <w:t>三种模式可选，PW&amp;PW、PW&amp;TDI、TDI&amp;TDI；</w:t>
      </w:r>
      <w:bookmarkEnd w:id="64"/>
    </w:p>
    <w:p w14:paraId="7450299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67" w:name="_Toc753"/>
      <w:r>
        <w:rPr>
          <w:rFonts w:hint="eastAsia" w:ascii="宋体" w:hAnsi="宋体" w:eastAsia="宋体" w:cs="宋体"/>
          <w:kern w:val="2"/>
          <w:sz w:val="24"/>
          <w:szCs w:val="24"/>
          <w:lang w:val="en-US" w:eastAsia="zh-CN" w:bidi="ar-SA"/>
        </w:rPr>
        <w:t>2.1.22.2  支持凸阵、线阵、相控阵探头 ；</w:t>
      </w:r>
      <w:bookmarkEnd w:id="67"/>
    </w:p>
    <w:p w14:paraId="3EC142E5">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68" w:name="_Toc23186"/>
      <w:r>
        <w:rPr>
          <w:rFonts w:hint="eastAsia" w:ascii="宋体" w:hAnsi="宋体" w:eastAsia="宋体" w:cs="宋体"/>
          <w:kern w:val="2"/>
          <w:sz w:val="24"/>
          <w:szCs w:val="24"/>
          <w:lang w:val="en-US" w:eastAsia="zh-CN" w:bidi="ar-SA"/>
        </w:rPr>
        <w:t>2.1.22.3  无需启动测量按键，自动获得E/e’测量分析；</w:t>
      </w:r>
      <w:bookmarkEnd w:id="68"/>
    </w:p>
    <w:p w14:paraId="2A77BC8F">
      <w:pPr>
        <w:keepNext w:val="0"/>
        <w:keepLines w:val="0"/>
        <w:pageBreakBefore w:val="0"/>
        <w:widowControl w:val="0"/>
        <w:kinsoku/>
        <w:wordWrap/>
        <w:overflowPunct/>
        <w:topLinePunct w:val="0"/>
        <w:autoSpaceDE/>
        <w:autoSpaceDN/>
        <w:bidi w:val="0"/>
        <w:adjustRightInd/>
        <w:snapToGrid w:val="0"/>
        <w:spacing w:line="480" w:lineRule="exact"/>
        <w:ind w:left="1470" w:hanging="1680" w:hangingChars="7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69" w:name="_Toc3170"/>
      <w:r>
        <w:rPr>
          <w:rFonts w:hint="eastAsia" w:ascii="宋体" w:hAnsi="宋体" w:eastAsia="宋体" w:cs="宋体"/>
          <w:kern w:val="2"/>
          <w:sz w:val="24"/>
          <w:szCs w:val="24"/>
          <w:lang w:val="en-US" w:eastAsia="zh-CN" w:bidi="ar-SA"/>
        </w:rPr>
        <w:t>▲2.1.23  具备超精微血流成像技术，滤除组织运动伪像，以与信号强度相关的颜色显</w:t>
      </w:r>
      <w:bookmarkEnd w:id="69"/>
    </w:p>
    <w:p w14:paraId="42D7DC62">
      <w:pPr>
        <w:keepNext w:val="0"/>
        <w:keepLines w:val="0"/>
        <w:pageBreakBefore w:val="0"/>
        <w:widowControl w:val="0"/>
        <w:kinsoku/>
        <w:wordWrap/>
        <w:overflowPunct/>
        <w:topLinePunct w:val="0"/>
        <w:autoSpaceDE/>
        <w:autoSpaceDN/>
        <w:bidi w:val="0"/>
        <w:adjustRightInd/>
        <w:snapToGrid w:val="0"/>
        <w:spacing w:line="480" w:lineRule="exact"/>
        <w:ind w:left="1470" w:hanging="1680" w:hangingChars="700"/>
        <w:jc w:val="left"/>
        <w:outlineLvl w:val="0"/>
        <w:rPr>
          <w:rFonts w:hint="eastAsia" w:ascii="宋体" w:hAnsi="宋体" w:eastAsia="宋体" w:cs="宋体"/>
          <w:kern w:val="2"/>
          <w:sz w:val="24"/>
          <w:szCs w:val="24"/>
          <w:lang w:val="en-US" w:eastAsia="zh-CN" w:bidi="ar-SA"/>
        </w:rPr>
      </w:pPr>
      <w:bookmarkStart w:id="70" w:name="_Toc6669"/>
      <w:r>
        <w:rPr>
          <w:rFonts w:hint="eastAsia" w:ascii="宋体" w:hAnsi="宋体" w:eastAsia="宋体" w:cs="宋体"/>
          <w:kern w:val="2"/>
          <w:sz w:val="24"/>
          <w:szCs w:val="24"/>
          <w:lang w:val="en-US" w:eastAsia="zh-CN" w:bidi="ar-SA"/>
        </w:rPr>
        <w:t>示血流图像；</w:t>
      </w:r>
      <w:bookmarkEnd w:id="70"/>
    </w:p>
    <w:p w14:paraId="4B39F8CF">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1" w:name="_Toc24617"/>
      <w:r>
        <w:rPr>
          <w:rFonts w:hint="eastAsia" w:ascii="宋体" w:hAnsi="宋体" w:eastAsia="宋体" w:cs="宋体"/>
          <w:kern w:val="2"/>
          <w:sz w:val="24"/>
          <w:szCs w:val="24"/>
          <w:lang w:val="en-US" w:eastAsia="zh-CN" w:bidi="ar-SA"/>
        </w:rPr>
        <w:t>2.1.24  系统数字化通道≥574,976；</w:t>
      </w:r>
      <w:bookmarkEnd w:id="71"/>
    </w:p>
    <w:p w14:paraId="3040E5C6">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jc w:val="left"/>
        <w:textAlignment w:val="auto"/>
        <w:outlineLvl w:val="0"/>
        <w:rPr>
          <w:rFonts w:hint="eastAsia" w:ascii="宋体" w:hAnsi="宋体" w:eastAsia="宋体" w:cs="宋体"/>
          <w:kern w:val="2"/>
          <w:sz w:val="24"/>
          <w:szCs w:val="24"/>
          <w:lang w:val="en-US" w:eastAsia="zh-CN" w:bidi="ar-SA"/>
        </w:rPr>
      </w:pPr>
      <w:bookmarkStart w:id="72" w:name="_Toc30508"/>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.1.25  具备数字式触控TGC软件，精简物理键设置，替代传统TGC滑块，便于清洁，可一键</w:t>
      </w:r>
      <w:r>
        <w:rPr>
          <w:rFonts w:hint="eastAsia" w:ascii="宋体" w:hAnsi="宋体" w:eastAsia="宋体" w:cs="宋体"/>
          <w:kern w:val="2"/>
          <w:sz w:val="24"/>
          <w:szCs w:val="24"/>
          <w:lang w:val="en-US" w:eastAsia="zh-CN" w:bidi="ar-SA"/>
        </w:rPr>
        <w:t>复位，简化操作步骤；</w:t>
      </w:r>
      <w:bookmarkEnd w:id="72"/>
    </w:p>
    <w:p w14:paraId="33AD9B76">
      <w:pPr>
        <w:keepNext w:val="0"/>
        <w:keepLines w:val="0"/>
        <w:pageBreakBefore w:val="0"/>
        <w:widowControl w:val="0"/>
        <w:kinsoku/>
        <w:wordWrap/>
        <w:overflowPunct/>
        <w:topLinePunct w:val="0"/>
        <w:autoSpaceDE/>
        <w:autoSpaceDN/>
        <w:bidi w:val="0"/>
        <w:adjustRightInd/>
        <w:snapToGrid w:val="0"/>
        <w:spacing w:line="480" w:lineRule="exact"/>
        <w:ind w:left="1470" w:hanging="1680" w:hangingChars="7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3" w:name="_Toc4623"/>
      <w:r>
        <w:rPr>
          <w:rFonts w:hint="eastAsia" w:ascii="宋体" w:hAnsi="宋体" w:eastAsia="宋体" w:cs="宋体"/>
          <w:kern w:val="2"/>
          <w:sz w:val="24"/>
          <w:szCs w:val="24"/>
          <w:lang w:val="en-US" w:eastAsia="zh-CN" w:bidi="ar-SA"/>
        </w:rPr>
        <w:t>▲2.1.26  具备自动血管内中膜厚度测量功能：通过在血管长轴设置感兴趣区ROI，可</w:t>
      </w:r>
      <w:bookmarkEnd w:id="73"/>
    </w:p>
    <w:p w14:paraId="760981C7">
      <w:pPr>
        <w:keepNext w:val="0"/>
        <w:keepLines w:val="0"/>
        <w:pageBreakBefore w:val="0"/>
        <w:widowControl w:val="0"/>
        <w:kinsoku/>
        <w:wordWrap/>
        <w:overflowPunct/>
        <w:topLinePunct w:val="0"/>
        <w:autoSpaceDE/>
        <w:autoSpaceDN/>
        <w:bidi w:val="0"/>
        <w:adjustRightInd/>
        <w:snapToGrid w:val="0"/>
        <w:spacing w:line="480" w:lineRule="exact"/>
        <w:ind w:left="1470" w:hanging="1680" w:hangingChars="700"/>
        <w:jc w:val="left"/>
        <w:outlineLvl w:val="0"/>
        <w:rPr>
          <w:rFonts w:hint="eastAsia" w:ascii="宋体" w:hAnsi="宋体" w:eastAsia="宋体" w:cs="宋体"/>
          <w:kern w:val="2"/>
          <w:sz w:val="24"/>
          <w:szCs w:val="24"/>
          <w:lang w:val="en-US" w:eastAsia="zh-CN" w:bidi="ar-SA"/>
        </w:rPr>
      </w:pPr>
      <w:bookmarkStart w:id="74" w:name="_Toc3536"/>
      <w:r>
        <w:rPr>
          <w:rFonts w:hint="eastAsia" w:ascii="宋体" w:hAnsi="宋体" w:eastAsia="宋体" w:cs="宋体"/>
          <w:kern w:val="2"/>
          <w:sz w:val="24"/>
          <w:szCs w:val="24"/>
          <w:lang w:val="en-US" w:eastAsia="zh-CN" w:bidi="ar-SA"/>
        </w:rPr>
        <w:t>自动提取IMT厚度及多点的平均值 ；</w:t>
      </w:r>
      <w:bookmarkEnd w:id="74"/>
      <w:r>
        <w:rPr>
          <w:rFonts w:hint="eastAsia" w:ascii="宋体" w:hAnsi="宋体" w:eastAsia="宋体" w:cs="宋体"/>
          <w:kern w:val="2"/>
          <w:sz w:val="24"/>
          <w:szCs w:val="24"/>
          <w:lang w:val="en-US" w:eastAsia="zh-CN" w:bidi="ar-SA"/>
        </w:rPr>
        <w:t xml:space="preserve"> </w:t>
      </w:r>
    </w:p>
    <w:p w14:paraId="264D173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5" w:name="_Toc12485"/>
      <w:r>
        <w:rPr>
          <w:rFonts w:hint="eastAsia" w:ascii="宋体" w:hAnsi="宋体" w:eastAsia="宋体" w:cs="宋体"/>
          <w:kern w:val="2"/>
          <w:sz w:val="24"/>
          <w:szCs w:val="24"/>
          <w:lang w:val="en-US" w:eastAsia="zh-CN" w:bidi="ar-SA"/>
        </w:rPr>
        <w:t>▲2.1.27  具备实时组织弹性成像功能</w:t>
      </w:r>
      <w:bookmarkEnd w:id="75"/>
    </w:p>
    <w:p w14:paraId="2CE2BFB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6" w:name="_Toc21231"/>
      <w:r>
        <w:rPr>
          <w:rFonts w:hint="eastAsia" w:ascii="宋体" w:hAnsi="宋体" w:eastAsia="宋体" w:cs="宋体"/>
          <w:kern w:val="2"/>
          <w:sz w:val="24"/>
          <w:szCs w:val="24"/>
          <w:lang w:val="en-US" w:eastAsia="zh-CN" w:bidi="ar-SA"/>
        </w:rPr>
        <w:t>2.1.27.1  具有应变比值定量分析，可进行任意两个区域间应变比的计算；</w:t>
      </w:r>
      <w:bookmarkEnd w:id="76"/>
    </w:p>
    <w:p w14:paraId="56D76FBF">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7" w:name="_Toc8773"/>
      <w:r>
        <w:rPr>
          <w:rFonts w:hint="eastAsia" w:ascii="宋体" w:hAnsi="宋体" w:eastAsia="宋体" w:cs="宋体"/>
          <w:kern w:val="2"/>
          <w:sz w:val="24"/>
          <w:szCs w:val="24"/>
          <w:lang w:val="en-US" w:eastAsia="zh-CN" w:bidi="ar-SA"/>
        </w:rPr>
        <w:t>2.1.27.2  具备应变曲线，应变平均值的时间变化可实时显示于图形上；</w:t>
      </w:r>
      <w:bookmarkEnd w:id="77"/>
    </w:p>
    <w:p w14:paraId="19B00CF4">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8" w:name="_Toc19957"/>
      <w:r>
        <w:rPr>
          <w:rFonts w:hint="eastAsia" w:ascii="宋体" w:hAnsi="宋体" w:eastAsia="宋体" w:cs="宋体"/>
          <w:kern w:val="2"/>
          <w:sz w:val="24"/>
          <w:szCs w:val="24"/>
          <w:lang w:val="en-US" w:eastAsia="zh-CN" w:bidi="ar-SA"/>
        </w:rPr>
        <w:t>2.1.27.3  具有自动选帧功能，可自动提取稳定压力下的最佳图像；</w:t>
      </w:r>
      <w:bookmarkEnd w:id="78"/>
    </w:p>
    <w:p w14:paraId="7216796E">
      <w:pPr>
        <w:keepNext w:val="0"/>
        <w:keepLines w:val="0"/>
        <w:pageBreakBefore w:val="0"/>
        <w:widowControl w:val="0"/>
        <w:kinsoku/>
        <w:wordWrap/>
        <w:overflowPunct/>
        <w:topLinePunct w:val="0"/>
        <w:autoSpaceDE/>
        <w:autoSpaceDN/>
        <w:bidi w:val="0"/>
        <w:adjustRightInd/>
        <w:snapToGrid w:val="0"/>
        <w:spacing w:line="480" w:lineRule="exact"/>
        <w:ind w:left="2730" w:hanging="3120" w:hangingChars="13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79" w:name="_Toc3138"/>
      <w:r>
        <w:rPr>
          <w:rFonts w:hint="eastAsia" w:ascii="宋体" w:hAnsi="宋体" w:eastAsia="宋体" w:cs="宋体"/>
          <w:kern w:val="2"/>
          <w:sz w:val="24"/>
          <w:szCs w:val="24"/>
          <w:lang w:val="en-US" w:eastAsia="zh-CN" w:bidi="ar-SA"/>
        </w:rPr>
        <w:t>2.1.27.4  具有自动应变比值定量分析功能，点击病灶部位即可自动取样病</w:t>
      </w:r>
      <w:bookmarkEnd w:id="79"/>
    </w:p>
    <w:p w14:paraId="509D6AAD">
      <w:pPr>
        <w:keepNext w:val="0"/>
        <w:keepLines w:val="0"/>
        <w:pageBreakBefore w:val="0"/>
        <w:widowControl w:val="0"/>
        <w:kinsoku/>
        <w:wordWrap/>
        <w:overflowPunct/>
        <w:topLinePunct w:val="0"/>
        <w:autoSpaceDE/>
        <w:autoSpaceDN/>
        <w:bidi w:val="0"/>
        <w:adjustRightInd/>
        <w:snapToGrid w:val="0"/>
        <w:spacing w:line="480" w:lineRule="exact"/>
        <w:ind w:left="2730" w:hanging="3120" w:hangingChars="1300"/>
        <w:jc w:val="left"/>
        <w:outlineLvl w:val="0"/>
        <w:rPr>
          <w:rFonts w:hint="eastAsia" w:ascii="宋体" w:hAnsi="宋体" w:eastAsia="宋体" w:cs="宋体"/>
          <w:kern w:val="2"/>
          <w:sz w:val="24"/>
          <w:szCs w:val="24"/>
          <w:lang w:val="en-US" w:eastAsia="zh-CN" w:bidi="ar-SA"/>
        </w:rPr>
      </w:pPr>
      <w:bookmarkStart w:id="80" w:name="_Toc8690"/>
      <w:r>
        <w:rPr>
          <w:rFonts w:hint="eastAsia" w:ascii="宋体" w:hAnsi="宋体" w:eastAsia="宋体" w:cs="宋体"/>
          <w:kern w:val="2"/>
          <w:sz w:val="24"/>
          <w:szCs w:val="24"/>
          <w:lang w:val="en-US" w:eastAsia="zh-CN" w:bidi="ar-SA"/>
        </w:rPr>
        <w:t>灶和脂肪层ROI，并进行应变比值测量；</w:t>
      </w:r>
      <w:bookmarkEnd w:id="80"/>
    </w:p>
    <w:p w14:paraId="18362B6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81" w:name="_Toc28940"/>
      <w:r>
        <w:rPr>
          <w:rFonts w:hint="eastAsia" w:ascii="宋体" w:hAnsi="宋体" w:eastAsia="宋体" w:cs="宋体"/>
          <w:kern w:val="2"/>
          <w:sz w:val="24"/>
          <w:szCs w:val="24"/>
          <w:lang w:val="en-US" w:eastAsia="zh-CN" w:bidi="ar-SA"/>
        </w:rPr>
        <w:t>2.1.27.5  支持凸阵、线阵、腔内、腔内容积、双平面及腹腔镜等探头；</w:t>
      </w:r>
      <w:bookmarkEnd w:id="81"/>
    </w:p>
    <w:p w14:paraId="625FBF95">
      <w:pPr>
        <w:keepNext w:val="0"/>
        <w:keepLines w:val="0"/>
        <w:pageBreakBefore w:val="0"/>
        <w:widowControl w:val="0"/>
        <w:kinsoku/>
        <w:wordWrap/>
        <w:overflowPunct/>
        <w:topLinePunct w:val="0"/>
        <w:autoSpaceDE/>
        <w:autoSpaceDN/>
        <w:bidi w:val="0"/>
        <w:adjustRightInd/>
        <w:snapToGrid w:val="0"/>
        <w:spacing w:line="480" w:lineRule="exact"/>
        <w:ind w:left="1619" w:leftChars="2" w:hanging="1615" w:hangingChars="673"/>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82" w:name="_Toc3442"/>
      <w:r>
        <w:rPr>
          <w:rFonts w:hint="eastAsia" w:ascii="宋体" w:hAnsi="宋体" w:eastAsia="宋体" w:cs="宋体"/>
          <w:kern w:val="2"/>
          <w:sz w:val="24"/>
          <w:szCs w:val="24"/>
          <w:lang w:val="en-US" w:eastAsia="zh-CN" w:bidi="ar-SA"/>
        </w:rPr>
        <w:t>★2.1.28  具备针对弥漫性病变弹性成像功能，具备肝纤维化的分级定量；</w:t>
      </w:r>
      <w:bookmarkEnd w:id="82"/>
    </w:p>
    <w:p w14:paraId="035EBF45">
      <w:pPr>
        <w:keepNext w:val="0"/>
        <w:keepLines w:val="0"/>
        <w:pageBreakBefore w:val="0"/>
        <w:widowControl w:val="0"/>
        <w:tabs>
          <w:tab w:val="left" w:pos="1418"/>
          <w:tab w:val="left" w:pos="1560"/>
        </w:tabs>
        <w:kinsoku/>
        <w:wordWrap/>
        <w:overflowPunct/>
        <w:topLinePunct w:val="0"/>
        <w:autoSpaceDE/>
        <w:autoSpaceDN/>
        <w:bidi w:val="0"/>
        <w:adjustRightInd/>
        <w:snapToGrid w:val="0"/>
        <w:spacing w:line="480" w:lineRule="exact"/>
        <w:ind w:left="484" w:leftChars="2"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83" w:name="_Toc11406"/>
      <w:r>
        <w:rPr>
          <w:rFonts w:hint="eastAsia" w:ascii="宋体" w:hAnsi="宋体" w:eastAsia="宋体" w:cs="宋体"/>
          <w:kern w:val="2"/>
          <w:sz w:val="24"/>
          <w:szCs w:val="24"/>
          <w:lang w:val="en-US" w:eastAsia="zh-CN" w:bidi="ar-SA"/>
        </w:rPr>
        <w:t>2.1.28.1  具有至少11个弥散定量诊断参数；</w:t>
      </w:r>
      <w:bookmarkEnd w:id="83"/>
    </w:p>
    <w:p w14:paraId="654BEBD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84" w:name="_Toc32254"/>
      <w:r>
        <w:rPr>
          <w:rFonts w:hint="eastAsia" w:ascii="宋体" w:hAnsi="宋体" w:eastAsia="宋体" w:cs="宋体"/>
          <w:kern w:val="2"/>
          <w:sz w:val="24"/>
          <w:szCs w:val="24"/>
          <w:lang w:val="en-US" w:eastAsia="zh-CN" w:bidi="ar-SA"/>
        </w:rPr>
        <w:t>2.1.28.2  具备应变直方图显示；</w:t>
      </w:r>
      <w:bookmarkEnd w:id="84"/>
    </w:p>
    <w:p w14:paraId="65E067AB">
      <w:pPr>
        <w:keepNext w:val="0"/>
        <w:keepLines w:val="0"/>
        <w:pageBreakBefore w:val="0"/>
        <w:widowControl w:val="0"/>
        <w:tabs>
          <w:tab w:val="left" w:pos="1560"/>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85" w:name="_Toc6742"/>
      <w:r>
        <w:rPr>
          <w:rFonts w:hint="eastAsia" w:ascii="宋体" w:hAnsi="宋体" w:eastAsia="宋体" w:cs="宋体"/>
          <w:kern w:val="2"/>
          <w:sz w:val="24"/>
          <w:szCs w:val="24"/>
          <w:lang w:val="en-US" w:eastAsia="zh-CN" w:bidi="ar-SA"/>
        </w:rPr>
        <w:t>2.1.29  具备剪切波测量</w:t>
      </w:r>
      <w:bookmarkEnd w:id="85"/>
    </w:p>
    <w:p w14:paraId="1CF59EE4">
      <w:pPr>
        <w:keepNext w:val="0"/>
        <w:keepLines w:val="0"/>
        <w:pageBreakBefore w:val="0"/>
        <w:widowControl w:val="0"/>
        <w:kinsoku/>
        <w:wordWrap/>
        <w:overflowPunct/>
        <w:topLinePunct w:val="0"/>
        <w:autoSpaceDE/>
        <w:autoSpaceDN/>
        <w:bidi w:val="0"/>
        <w:adjustRightInd/>
        <w:snapToGrid w:val="0"/>
        <w:spacing w:line="480" w:lineRule="exact"/>
        <w:ind w:left="2910" w:leftChars="700" w:hanging="1440" w:hangingChars="600"/>
        <w:jc w:val="left"/>
        <w:textAlignment w:val="auto"/>
        <w:outlineLvl w:val="0"/>
        <w:rPr>
          <w:rFonts w:hint="eastAsia" w:ascii="宋体" w:hAnsi="宋体" w:eastAsia="宋体" w:cs="宋体"/>
          <w:snapToGrid/>
          <w:kern w:val="2"/>
          <w:sz w:val="24"/>
          <w:szCs w:val="24"/>
          <w:lang w:eastAsia="zh-CN"/>
        </w:rPr>
      </w:pPr>
      <w:bookmarkStart w:id="86" w:name="_Toc31876"/>
      <w:bookmarkStart w:id="87" w:name="_Hlk190162236"/>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.1.29.1  测量值可以两种显示杨氏模量（KPa）、剪切波速度（m/s），同时</w:t>
      </w:r>
      <w:bookmarkEnd w:id="86"/>
    </w:p>
    <w:p w14:paraId="797400AC">
      <w:pPr>
        <w:keepNext w:val="0"/>
        <w:keepLines w:val="0"/>
        <w:pageBreakBefore w:val="0"/>
        <w:widowControl w:val="0"/>
        <w:kinsoku/>
        <w:wordWrap/>
        <w:overflowPunct/>
        <w:topLinePunct w:val="0"/>
        <w:autoSpaceDE/>
        <w:autoSpaceDN/>
        <w:bidi w:val="0"/>
        <w:adjustRightInd/>
        <w:snapToGrid w:val="0"/>
        <w:spacing w:line="480" w:lineRule="exact"/>
        <w:ind w:left="2910" w:leftChars="700" w:hanging="1440" w:hangingChars="600"/>
        <w:jc w:val="left"/>
        <w:textAlignment w:val="auto"/>
        <w:outlineLvl w:val="0"/>
        <w:rPr>
          <w:rFonts w:hint="eastAsia" w:ascii="宋体" w:hAnsi="宋体" w:eastAsia="宋体" w:cs="宋体"/>
          <w:snapToGrid/>
          <w:kern w:val="2"/>
          <w:sz w:val="24"/>
          <w:szCs w:val="24"/>
          <w:lang w:eastAsia="zh-CN"/>
        </w:rPr>
      </w:pPr>
      <w:bookmarkStart w:id="88" w:name="_Toc13512"/>
      <w:r>
        <w:rPr>
          <w:rFonts w:hint="eastAsia" w:ascii="宋体" w:hAnsi="宋体" w:eastAsia="宋体" w:cs="宋体"/>
          <w:snapToGrid/>
          <w:kern w:val="2"/>
          <w:sz w:val="24"/>
          <w:szCs w:val="24"/>
          <w:lang w:eastAsia="zh-CN"/>
        </w:rPr>
        <w:t>显示四分位间距。具有质控指数，提高测量准确性及重复性</w:t>
      </w:r>
      <w:r>
        <w:rPr>
          <w:rFonts w:hint="eastAsia" w:ascii="宋体" w:hAnsi="宋体" w:eastAsia="宋体" w:cs="宋体"/>
          <w:kern w:val="2"/>
          <w:sz w:val="24"/>
          <w:szCs w:val="24"/>
          <w:lang w:val="en-US" w:eastAsia="zh-CN" w:bidi="ar-SA"/>
        </w:rPr>
        <w:t>；</w:t>
      </w:r>
      <w:bookmarkEnd w:id="88"/>
    </w:p>
    <w:bookmarkEnd w:id="87"/>
    <w:p w14:paraId="6F4ECA94">
      <w:pPr>
        <w:keepNext w:val="0"/>
        <w:keepLines w:val="0"/>
        <w:pageBreakBefore w:val="0"/>
        <w:widowControl w:val="0"/>
        <w:kinsoku/>
        <w:wordWrap/>
        <w:overflowPunct/>
        <w:topLinePunct w:val="0"/>
        <w:autoSpaceDE/>
        <w:autoSpaceDN/>
        <w:bidi w:val="0"/>
        <w:adjustRightInd/>
        <w:snapToGrid w:val="0"/>
        <w:spacing w:line="480" w:lineRule="exact"/>
        <w:ind w:firstLine="1680" w:firstLineChars="700"/>
        <w:jc w:val="left"/>
        <w:textAlignment w:val="auto"/>
        <w:outlineLvl w:val="0"/>
        <w:rPr>
          <w:rFonts w:hint="eastAsia" w:ascii="宋体" w:hAnsi="宋体" w:eastAsia="宋体" w:cs="宋体"/>
          <w:snapToGrid/>
          <w:kern w:val="2"/>
          <w:sz w:val="24"/>
          <w:szCs w:val="24"/>
          <w:lang w:eastAsia="zh-CN"/>
        </w:rPr>
      </w:pPr>
      <w:bookmarkStart w:id="89" w:name="_Toc16099"/>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.1.29.2  具备剪切波速度分布直方图</w:t>
      </w:r>
      <w:r>
        <w:rPr>
          <w:rFonts w:hint="eastAsia" w:ascii="宋体" w:hAnsi="宋体" w:eastAsia="宋体" w:cs="宋体"/>
          <w:kern w:val="2"/>
          <w:sz w:val="24"/>
          <w:szCs w:val="24"/>
          <w:lang w:val="en-US" w:eastAsia="zh-CN" w:bidi="ar-SA"/>
        </w:rPr>
        <w:t>；</w:t>
      </w:r>
      <w:bookmarkEnd w:id="89"/>
    </w:p>
    <w:p w14:paraId="6B8E3ACB">
      <w:pPr>
        <w:keepNext w:val="0"/>
        <w:keepLines w:val="0"/>
        <w:pageBreakBefore w:val="0"/>
        <w:widowControl w:val="0"/>
        <w:kinsoku/>
        <w:wordWrap/>
        <w:overflowPunct/>
        <w:topLinePunct w:val="0"/>
        <w:autoSpaceDE/>
        <w:autoSpaceDN/>
        <w:bidi w:val="0"/>
        <w:adjustRightInd/>
        <w:snapToGrid w:val="0"/>
        <w:spacing w:line="480" w:lineRule="exact"/>
        <w:ind w:left="3900" w:leftChars="600" w:hanging="2640" w:hangingChars="11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90" w:name="_Toc508"/>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.1.29.3  测量Vs的同时，进行脂肪衰减系数测量</w:t>
      </w:r>
      <w:r>
        <w:rPr>
          <w:rFonts w:hint="eastAsia" w:ascii="宋体" w:hAnsi="宋体" w:eastAsia="宋体" w:cs="宋体"/>
          <w:kern w:val="2"/>
          <w:sz w:val="24"/>
          <w:szCs w:val="24"/>
          <w:lang w:val="en-US" w:eastAsia="zh-CN" w:bidi="ar-SA"/>
        </w:rPr>
        <w:t>；</w:t>
      </w:r>
      <w:bookmarkEnd w:id="90"/>
    </w:p>
    <w:p w14:paraId="1499EEC5">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91" w:name="_Toc21831"/>
      <w:r>
        <w:rPr>
          <w:rFonts w:hint="eastAsia" w:ascii="宋体" w:hAnsi="宋体" w:eastAsia="宋体" w:cs="宋体"/>
          <w:kern w:val="2"/>
          <w:sz w:val="24"/>
          <w:szCs w:val="24"/>
          <w:lang w:val="en-US" w:eastAsia="zh-CN" w:bidi="ar-SA"/>
        </w:rPr>
        <w:t>2.1.29.4  外部输出测量数据可用（CSV文件格式）；</w:t>
      </w:r>
      <w:bookmarkEnd w:id="91"/>
    </w:p>
    <w:p w14:paraId="6BDDA0FB">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92" w:name="_Toc3920"/>
      <w:r>
        <w:rPr>
          <w:rFonts w:hint="eastAsia" w:ascii="宋体" w:hAnsi="宋体" w:eastAsia="宋体" w:cs="宋体"/>
          <w:kern w:val="2"/>
          <w:sz w:val="24"/>
          <w:szCs w:val="24"/>
          <w:lang w:val="en-US" w:eastAsia="zh-CN" w:bidi="ar-SA"/>
        </w:rPr>
        <w:t>2.1.30  具备造影谐波成像功能</w:t>
      </w:r>
      <w:bookmarkEnd w:id="92"/>
    </w:p>
    <w:p w14:paraId="6EB1CF5E">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93" w:name="_Toc26722"/>
      <w:r>
        <w:rPr>
          <w:rFonts w:hint="eastAsia" w:ascii="宋体" w:hAnsi="宋体" w:eastAsia="宋体" w:cs="宋体"/>
          <w:kern w:val="2"/>
          <w:sz w:val="24"/>
          <w:szCs w:val="24"/>
          <w:lang w:val="en-US" w:eastAsia="zh-CN" w:bidi="ar-SA"/>
        </w:rPr>
        <w:t>2.1.30.1  具备低机械指数、高机械指数、振幅调制、反转脉冲等多模态造</w:t>
      </w:r>
      <w:bookmarkEnd w:id="93"/>
    </w:p>
    <w:p w14:paraId="5D308FDE">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lang w:val="en-US" w:eastAsia="zh-CN" w:bidi="ar-SA"/>
        </w:rPr>
      </w:pPr>
      <w:bookmarkStart w:id="94" w:name="_Toc7897"/>
      <w:r>
        <w:rPr>
          <w:rFonts w:hint="eastAsia" w:ascii="宋体" w:hAnsi="宋体" w:eastAsia="宋体" w:cs="宋体"/>
          <w:kern w:val="2"/>
          <w:sz w:val="24"/>
          <w:szCs w:val="24"/>
          <w:lang w:val="en-US" w:eastAsia="zh-CN" w:bidi="ar-SA"/>
        </w:rPr>
        <w:t>影技术；</w:t>
      </w:r>
      <w:bookmarkEnd w:id="94"/>
    </w:p>
    <w:p w14:paraId="30EE4740">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95" w:name="_Toc28895"/>
      <w:r>
        <w:rPr>
          <w:rFonts w:hint="eastAsia" w:ascii="宋体" w:hAnsi="宋体" w:eastAsia="宋体" w:cs="宋体"/>
          <w:kern w:val="2"/>
          <w:sz w:val="24"/>
          <w:szCs w:val="24"/>
          <w:lang w:val="en-US" w:eastAsia="zh-CN" w:bidi="ar-SA"/>
        </w:rPr>
        <w:t>2.1.30.2  具有实时状态下双计时器显示；</w:t>
      </w:r>
      <w:bookmarkEnd w:id="95"/>
    </w:p>
    <w:p w14:paraId="033D8A23">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96" w:name="_Toc11066"/>
      <w:r>
        <w:rPr>
          <w:rFonts w:hint="eastAsia" w:ascii="宋体" w:hAnsi="宋体" w:eastAsia="宋体" w:cs="宋体"/>
          <w:kern w:val="2"/>
          <w:sz w:val="24"/>
          <w:szCs w:val="24"/>
          <w:lang w:val="en-US" w:eastAsia="zh-CN" w:bidi="ar-SA"/>
        </w:rPr>
        <w:t>2.1.30.3  双幅造影模式下支持双穿刺引导功能，并同步显示穿刺针进入深</w:t>
      </w:r>
      <w:bookmarkEnd w:id="96"/>
    </w:p>
    <w:p w14:paraId="14C8995A">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lang w:val="en-US" w:eastAsia="zh-CN" w:bidi="ar-SA"/>
        </w:rPr>
      </w:pPr>
      <w:bookmarkStart w:id="97" w:name="_Toc30937"/>
      <w:r>
        <w:rPr>
          <w:rFonts w:hint="eastAsia" w:ascii="宋体" w:hAnsi="宋体" w:eastAsia="宋体" w:cs="宋体"/>
          <w:kern w:val="2"/>
          <w:sz w:val="24"/>
          <w:szCs w:val="24"/>
          <w:lang w:val="en-US" w:eastAsia="zh-CN" w:bidi="ar-SA"/>
        </w:rPr>
        <w:t>度数值；</w:t>
      </w:r>
      <w:bookmarkEnd w:id="97"/>
    </w:p>
    <w:p w14:paraId="3CE57BEF">
      <w:pPr>
        <w:keepNext w:val="0"/>
        <w:keepLines w:val="0"/>
        <w:pageBreakBefore w:val="0"/>
        <w:widowControl w:val="0"/>
        <w:kinsoku/>
        <w:wordWrap/>
        <w:overflowPunct/>
        <w:topLinePunct w:val="0"/>
        <w:autoSpaceDE/>
        <w:autoSpaceDN/>
        <w:bidi w:val="0"/>
        <w:adjustRightInd/>
        <w:snapToGrid w:val="0"/>
        <w:spacing w:line="480" w:lineRule="exact"/>
        <w:ind w:left="2520" w:hanging="2880" w:hangingChars="1200"/>
        <w:jc w:val="left"/>
        <w:outlineLvl w:val="0"/>
        <w:rPr>
          <w:rFonts w:hint="eastAsia" w:ascii="宋体" w:hAnsi="宋体" w:eastAsia="宋体" w:cs="宋体"/>
          <w:kern w:val="2"/>
          <w:sz w:val="24"/>
          <w:szCs w:val="24"/>
          <w:highlight w:val="yellow"/>
          <w:lang w:val="en-US" w:eastAsia="zh-CN" w:bidi="ar-SA"/>
        </w:rPr>
      </w:pPr>
      <w:r>
        <w:rPr>
          <w:rFonts w:hint="eastAsia" w:ascii="宋体" w:hAnsi="宋体" w:eastAsia="宋体" w:cs="宋体"/>
          <w:kern w:val="2"/>
          <w:sz w:val="24"/>
          <w:szCs w:val="24"/>
          <w:lang w:val="en-US" w:eastAsia="zh-CN" w:bidi="ar-SA"/>
        </w:rPr>
        <w:t xml:space="preserve">              </w:t>
      </w:r>
      <w:bookmarkStart w:id="98" w:name="_Toc12316"/>
      <w:r>
        <w:rPr>
          <w:rFonts w:hint="eastAsia" w:ascii="宋体" w:hAnsi="宋体" w:eastAsia="宋体" w:cs="宋体"/>
          <w:kern w:val="2"/>
          <w:sz w:val="24"/>
          <w:szCs w:val="24"/>
          <w:lang w:val="en-US" w:eastAsia="zh-CN" w:bidi="ar-SA"/>
        </w:rPr>
        <w:t>2.1.30.4  双幅造影模式下支持投射式同步测量；</w:t>
      </w:r>
      <w:bookmarkEnd w:id="98"/>
    </w:p>
    <w:p w14:paraId="50D62217">
      <w:pPr>
        <w:keepNext w:val="0"/>
        <w:keepLines w:val="0"/>
        <w:pageBreakBefore w:val="0"/>
        <w:widowControl w:val="0"/>
        <w:kinsoku/>
        <w:wordWrap/>
        <w:overflowPunct/>
        <w:topLinePunct w:val="0"/>
        <w:autoSpaceDE/>
        <w:autoSpaceDN/>
        <w:bidi w:val="0"/>
        <w:adjustRightInd/>
        <w:snapToGrid w:val="0"/>
        <w:spacing w:line="480" w:lineRule="exact"/>
        <w:ind w:left="2850" w:leftChars="100" w:hanging="2640" w:hangingChars="11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99" w:name="_Toc10079"/>
      <w:r>
        <w:rPr>
          <w:rFonts w:hint="eastAsia" w:ascii="宋体" w:hAnsi="宋体" w:eastAsia="宋体" w:cs="宋体"/>
          <w:kern w:val="2"/>
          <w:sz w:val="24"/>
          <w:szCs w:val="24"/>
          <w:lang w:val="en-US" w:eastAsia="zh-CN" w:bidi="ar-SA"/>
        </w:rPr>
        <w:t xml:space="preserve">2.1.30.5  </w:t>
      </w:r>
      <w:bookmarkStart w:id="100" w:name="_Hlk190162885"/>
      <w:r>
        <w:rPr>
          <w:rFonts w:hint="eastAsia" w:ascii="宋体" w:hAnsi="宋体" w:eastAsia="宋体" w:cs="宋体"/>
          <w:kern w:val="2"/>
          <w:sz w:val="24"/>
          <w:szCs w:val="24"/>
          <w:lang w:val="en-US" w:eastAsia="zh-CN" w:bidi="ar-SA"/>
        </w:rPr>
        <w:t>造影技术支持凸阵、微凸阵、术中线阵、腹腔镜等探头</w:t>
      </w:r>
      <w:bookmarkEnd w:id="100"/>
      <w:r>
        <w:rPr>
          <w:rFonts w:hint="eastAsia" w:ascii="宋体" w:hAnsi="宋体" w:eastAsia="宋体" w:cs="宋体"/>
          <w:kern w:val="2"/>
          <w:sz w:val="24"/>
          <w:szCs w:val="24"/>
          <w:lang w:val="en-US" w:eastAsia="zh-CN" w:bidi="ar-SA"/>
        </w:rPr>
        <w:t>；</w:t>
      </w:r>
      <w:bookmarkEnd w:id="99"/>
    </w:p>
    <w:p w14:paraId="6F4C623D">
      <w:pPr>
        <w:keepNext w:val="0"/>
        <w:keepLines w:val="0"/>
        <w:pageBreakBefore w:val="0"/>
        <w:widowControl w:val="0"/>
        <w:kinsoku/>
        <w:wordWrap/>
        <w:overflowPunct/>
        <w:topLinePunct w:val="0"/>
        <w:autoSpaceDE/>
        <w:autoSpaceDN/>
        <w:bidi w:val="0"/>
        <w:adjustRightInd/>
        <w:snapToGrid w:val="0"/>
        <w:spacing w:line="480" w:lineRule="exact"/>
        <w:ind w:left="2850" w:leftChars="100" w:hanging="2640" w:hangingChars="11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1" w:name="_Toc12828"/>
      <w:r>
        <w:rPr>
          <w:rFonts w:hint="eastAsia" w:ascii="宋体" w:hAnsi="宋体" w:eastAsia="宋体" w:cs="宋体"/>
          <w:kern w:val="2"/>
          <w:sz w:val="24"/>
          <w:szCs w:val="24"/>
          <w:lang w:val="en-US" w:eastAsia="zh-CN" w:bidi="ar-SA"/>
        </w:rPr>
        <w:t>▲2.1.31   具备穿刺针增强显示及刻度实时显示功能。</w:t>
      </w:r>
      <w:bookmarkEnd w:id="101"/>
    </w:p>
    <w:p w14:paraId="7FFC3205">
      <w:pPr>
        <w:keepNext w:val="0"/>
        <w:keepLines w:val="0"/>
        <w:pageBreakBefore w:val="0"/>
        <w:widowControl w:val="0"/>
        <w:kinsoku/>
        <w:wordWrap/>
        <w:overflowPunct/>
        <w:topLinePunct w:val="0"/>
        <w:autoSpaceDE/>
        <w:autoSpaceDN/>
        <w:bidi w:val="0"/>
        <w:adjustRightInd/>
        <w:snapToGrid w:val="0"/>
        <w:spacing w:line="480" w:lineRule="exact"/>
        <w:ind w:left="1275" w:hanging="1456" w:hangingChars="607"/>
        <w:jc w:val="left"/>
        <w:textAlignment w:val="auto"/>
        <w:outlineLvl w:val="0"/>
        <w:rPr>
          <w:rFonts w:hint="eastAsia" w:ascii="宋体" w:hAnsi="宋体" w:eastAsia="宋体" w:cs="宋体"/>
          <w:snapToGrid/>
          <w:kern w:val="2"/>
          <w:sz w:val="24"/>
          <w:szCs w:val="24"/>
          <w:lang w:eastAsia="zh-CN"/>
        </w:rPr>
      </w:pPr>
      <w:bookmarkStart w:id="102" w:name="_Toc10566"/>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.2  测量和分析（B型、M型、彩色多普勒、频谱多普勒）</w:t>
      </w:r>
      <w:bookmarkEnd w:id="102"/>
    </w:p>
    <w:p w14:paraId="5C3CC390">
      <w:pPr>
        <w:keepNext w:val="0"/>
        <w:keepLines w:val="0"/>
        <w:pageBreakBefore w:val="0"/>
        <w:widowControl w:val="0"/>
        <w:tabs>
          <w:tab w:val="left" w:pos="709"/>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3" w:name="_Toc728"/>
      <w:r>
        <w:rPr>
          <w:rFonts w:hint="eastAsia" w:ascii="宋体" w:hAnsi="宋体" w:eastAsia="宋体" w:cs="宋体"/>
          <w:kern w:val="2"/>
          <w:sz w:val="24"/>
          <w:szCs w:val="24"/>
          <w:lang w:val="en-US" w:eastAsia="zh-CN" w:bidi="ar-SA"/>
        </w:rPr>
        <w:t>2.2.1   一般测量：距离、面积、周长、角度、容积等；</w:t>
      </w:r>
      <w:bookmarkEnd w:id="103"/>
    </w:p>
    <w:p w14:paraId="0E4418E2">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4" w:name="_Toc26974"/>
      <w:r>
        <w:rPr>
          <w:rFonts w:hint="eastAsia" w:ascii="宋体" w:hAnsi="宋体" w:eastAsia="宋体" w:cs="宋体"/>
          <w:kern w:val="2"/>
          <w:sz w:val="24"/>
          <w:szCs w:val="24"/>
          <w:lang w:val="en-US" w:eastAsia="zh-CN" w:bidi="ar-SA"/>
        </w:rPr>
        <w:t>2.2.2   M型测量；</w:t>
      </w:r>
      <w:bookmarkEnd w:id="104"/>
    </w:p>
    <w:p w14:paraId="3B02B934">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5" w:name="_Toc2760"/>
      <w:r>
        <w:rPr>
          <w:rFonts w:hint="eastAsia" w:ascii="宋体" w:hAnsi="宋体" w:eastAsia="宋体" w:cs="宋体"/>
          <w:kern w:val="2"/>
          <w:sz w:val="24"/>
          <w:szCs w:val="24"/>
          <w:lang w:val="en-US" w:eastAsia="zh-CN" w:bidi="ar-SA"/>
        </w:rPr>
        <w:t>2.2.3   多普勒血流测量及分析（含实时多普勒自动描记）；</w:t>
      </w:r>
      <w:bookmarkEnd w:id="105"/>
    </w:p>
    <w:p w14:paraId="519D5D90">
      <w:pPr>
        <w:keepNext w:val="0"/>
        <w:keepLines w:val="0"/>
        <w:pageBreakBefore w:val="0"/>
        <w:widowControl w:val="0"/>
        <w:kinsoku/>
        <w:wordWrap/>
        <w:overflowPunct/>
        <w:topLinePunct w:val="0"/>
        <w:autoSpaceDE/>
        <w:autoSpaceDN/>
        <w:bidi w:val="0"/>
        <w:adjustRightInd/>
        <w:snapToGrid w:val="0"/>
        <w:spacing w:line="480" w:lineRule="exact"/>
        <w:ind w:left="1470" w:hanging="1680" w:hangingChars="7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6" w:name="_Toc23431"/>
      <w:r>
        <w:rPr>
          <w:rFonts w:hint="eastAsia" w:ascii="宋体" w:hAnsi="宋体" w:eastAsia="宋体" w:cs="宋体"/>
          <w:kern w:val="2"/>
          <w:sz w:val="24"/>
          <w:szCs w:val="24"/>
          <w:lang w:val="en-US" w:eastAsia="zh-CN" w:bidi="ar-SA"/>
        </w:rPr>
        <w:t>2.2.4   产科测量与分析：包括全面的产科径线测量、NT测量、孕龄及生长曲线、羊水指数等；</w:t>
      </w:r>
      <w:bookmarkEnd w:id="106"/>
    </w:p>
    <w:p w14:paraId="5A17CF6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7" w:name="_Toc28297"/>
      <w:r>
        <w:rPr>
          <w:rFonts w:hint="eastAsia" w:ascii="宋体" w:hAnsi="宋体" w:eastAsia="宋体" w:cs="宋体"/>
          <w:kern w:val="2"/>
          <w:sz w:val="24"/>
          <w:szCs w:val="24"/>
          <w:lang w:val="en-US" w:eastAsia="zh-CN" w:bidi="ar-SA"/>
        </w:rPr>
        <w:t>2.2.5   妇科测量与分析</w:t>
      </w:r>
      <w:bookmarkEnd w:id="107"/>
      <w:r>
        <w:rPr>
          <w:rFonts w:hint="eastAsia" w:ascii="宋体" w:hAnsi="宋体" w:eastAsia="宋体" w:cs="宋体"/>
          <w:kern w:val="2"/>
          <w:sz w:val="24"/>
          <w:szCs w:val="24"/>
          <w:lang w:val="en-US" w:eastAsia="zh-CN" w:bidi="ar-SA"/>
        </w:rPr>
        <w:t xml:space="preserve">  </w:t>
      </w:r>
    </w:p>
    <w:p w14:paraId="76435615">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8" w:name="_Toc31032"/>
      <w:r>
        <w:rPr>
          <w:rFonts w:hint="eastAsia" w:ascii="宋体" w:hAnsi="宋体" w:eastAsia="宋体" w:cs="宋体"/>
          <w:kern w:val="2"/>
          <w:sz w:val="24"/>
          <w:szCs w:val="24"/>
          <w:lang w:val="en-US" w:eastAsia="zh-CN" w:bidi="ar-SA"/>
        </w:rPr>
        <w:t>2.2.5.1  具备专业卵泡测量软件包；</w:t>
      </w:r>
      <w:bookmarkEnd w:id="108"/>
    </w:p>
    <w:p w14:paraId="1D17947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09" w:name="_Toc21434"/>
      <w:r>
        <w:rPr>
          <w:rFonts w:hint="eastAsia" w:ascii="宋体" w:hAnsi="宋体" w:eastAsia="宋体" w:cs="宋体"/>
          <w:kern w:val="2"/>
          <w:sz w:val="24"/>
          <w:szCs w:val="24"/>
          <w:lang w:val="en-US" w:eastAsia="zh-CN" w:bidi="ar-SA"/>
        </w:rPr>
        <w:t>2.2.5.2  可自动计算卵泡大小及平均值；</w:t>
      </w:r>
      <w:bookmarkEnd w:id="109"/>
    </w:p>
    <w:p w14:paraId="35EBC81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0" w:name="_Toc17271"/>
      <w:r>
        <w:rPr>
          <w:rFonts w:hint="eastAsia" w:ascii="宋体" w:hAnsi="宋体" w:eastAsia="宋体" w:cs="宋体"/>
          <w:kern w:val="2"/>
          <w:sz w:val="24"/>
          <w:szCs w:val="24"/>
          <w:lang w:val="en-US" w:eastAsia="zh-CN" w:bidi="ar-SA"/>
        </w:rPr>
        <w:t>2.2.5.3  具备专业卵泡评估报告，卵泡可自动大小排序；</w:t>
      </w:r>
      <w:bookmarkEnd w:id="110"/>
    </w:p>
    <w:p w14:paraId="6F1AB92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1" w:name="_Toc27046"/>
      <w:r>
        <w:rPr>
          <w:rFonts w:hint="eastAsia" w:ascii="宋体" w:hAnsi="宋体" w:eastAsia="宋体" w:cs="宋体"/>
          <w:kern w:val="2"/>
          <w:sz w:val="24"/>
          <w:szCs w:val="24"/>
          <w:lang w:val="en-US" w:eastAsia="zh-CN" w:bidi="ar-SA"/>
        </w:rPr>
        <w:t>2.2.5.4  报告中每侧显示卵泡≥10个；</w:t>
      </w:r>
      <w:bookmarkEnd w:id="111"/>
    </w:p>
    <w:p w14:paraId="608DA640">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2" w:name="_Toc32083"/>
      <w:r>
        <w:rPr>
          <w:rFonts w:hint="eastAsia" w:ascii="宋体" w:hAnsi="宋体" w:eastAsia="宋体" w:cs="宋体"/>
          <w:kern w:val="2"/>
          <w:sz w:val="24"/>
          <w:szCs w:val="24"/>
          <w:lang w:val="en-US" w:eastAsia="zh-CN" w:bidi="ar-SA"/>
        </w:rPr>
        <w:t>2.2.6   心脏功能测量与分析</w:t>
      </w:r>
      <w:bookmarkEnd w:id="112"/>
    </w:p>
    <w:p w14:paraId="6C4FA905">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3" w:name="_Toc15435"/>
      <w:r>
        <w:rPr>
          <w:rFonts w:hint="eastAsia" w:ascii="宋体" w:hAnsi="宋体" w:eastAsia="宋体" w:cs="宋体"/>
          <w:kern w:val="2"/>
          <w:sz w:val="24"/>
          <w:szCs w:val="24"/>
          <w:lang w:val="en-US" w:eastAsia="zh-CN" w:bidi="ar-SA"/>
        </w:rPr>
        <w:t>2.2.6.1  自动心脏测量；</w:t>
      </w:r>
      <w:bookmarkEnd w:id="113"/>
    </w:p>
    <w:p w14:paraId="5A17AF82">
      <w:pPr>
        <w:keepNext w:val="0"/>
        <w:keepLines w:val="0"/>
        <w:pageBreakBefore w:val="0"/>
        <w:widowControl w:val="0"/>
        <w:kinsoku/>
        <w:wordWrap/>
        <w:overflowPunct/>
        <w:topLinePunct w:val="0"/>
        <w:autoSpaceDE/>
        <w:autoSpaceDN/>
        <w:bidi w:val="0"/>
        <w:adjustRightInd/>
        <w:snapToGrid w:val="0"/>
        <w:spacing w:line="480" w:lineRule="exact"/>
        <w:ind w:firstLine="1680" w:firstLineChars="700"/>
        <w:jc w:val="left"/>
        <w:outlineLvl w:val="0"/>
        <w:rPr>
          <w:rFonts w:hint="eastAsia" w:ascii="宋体" w:hAnsi="宋体" w:eastAsia="宋体" w:cs="宋体"/>
          <w:kern w:val="2"/>
          <w:sz w:val="24"/>
          <w:szCs w:val="24"/>
          <w:lang w:val="en-US" w:eastAsia="zh-CN" w:bidi="ar-SA"/>
        </w:rPr>
      </w:pPr>
      <w:bookmarkStart w:id="114" w:name="_Toc11098"/>
      <w:r>
        <w:rPr>
          <w:rFonts w:hint="eastAsia" w:ascii="宋体" w:hAnsi="宋体" w:eastAsia="宋体" w:cs="宋体"/>
          <w:kern w:val="2"/>
          <w:sz w:val="24"/>
          <w:szCs w:val="24"/>
          <w:lang w:val="en-US" w:eastAsia="zh-CN" w:bidi="ar-SA"/>
        </w:rPr>
        <w:t>2.2.6.1.1  LV/LA/RA  容积全自动测量；</w:t>
      </w:r>
      <w:bookmarkEnd w:id="114"/>
    </w:p>
    <w:p w14:paraId="4CA8536C">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5" w:name="_Toc19578"/>
      <w:r>
        <w:rPr>
          <w:rFonts w:hint="eastAsia" w:ascii="宋体" w:hAnsi="宋体" w:eastAsia="宋体" w:cs="宋体"/>
          <w:kern w:val="2"/>
          <w:sz w:val="24"/>
          <w:szCs w:val="24"/>
          <w:lang w:val="en-US" w:eastAsia="zh-CN" w:bidi="ar-SA"/>
        </w:rPr>
        <w:t>2.2.6.1.2  FAC自动测量；</w:t>
      </w:r>
      <w:bookmarkEnd w:id="115"/>
    </w:p>
    <w:p w14:paraId="4F3DADA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6" w:name="_Toc1959"/>
      <w:r>
        <w:rPr>
          <w:rFonts w:hint="eastAsia" w:ascii="宋体" w:hAnsi="宋体" w:eastAsia="宋体" w:cs="宋体"/>
          <w:kern w:val="2"/>
          <w:sz w:val="24"/>
          <w:szCs w:val="24"/>
          <w:lang w:val="en-US" w:eastAsia="zh-CN" w:bidi="ar-SA"/>
        </w:rPr>
        <w:t>2.2.6.1.3  LA/AO全自动测量；</w:t>
      </w:r>
      <w:bookmarkEnd w:id="116"/>
    </w:p>
    <w:p w14:paraId="3B6DE91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7" w:name="_Toc32296"/>
      <w:r>
        <w:rPr>
          <w:rFonts w:hint="eastAsia" w:ascii="宋体" w:hAnsi="宋体" w:eastAsia="宋体" w:cs="宋体"/>
          <w:kern w:val="2"/>
          <w:sz w:val="24"/>
          <w:szCs w:val="24"/>
          <w:lang w:val="en-US" w:eastAsia="zh-CN" w:bidi="ar-SA"/>
        </w:rPr>
        <w:t>2.2.7   外周血管血流测量与分析；</w:t>
      </w:r>
      <w:bookmarkEnd w:id="117"/>
    </w:p>
    <w:p w14:paraId="2A329919">
      <w:pPr>
        <w:keepNext w:val="0"/>
        <w:keepLines w:val="0"/>
        <w:pageBreakBefore w:val="0"/>
        <w:widowControl w:val="0"/>
        <w:tabs>
          <w:tab w:val="left" w:pos="567"/>
          <w:tab w:val="left" w:pos="709"/>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8" w:name="_Toc22395"/>
      <w:r>
        <w:rPr>
          <w:rFonts w:hint="eastAsia" w:ascii="宋体" w:hAnsi="宋体" w:eastAsia="宋体" w:cs="宋体"/>
          <w:kern w:val="2"/>
          <w:sz w:val="24"/>
          <w:szCs w:val="24"/>
          <w:lang w:val="en-US" w:eastAsia="zh-CN" w:bidi="ar-SA"/>
        </w:rPr>
        <w:t>2.2.8   乳腺测量与分析</w:t>
      </w:r>
      <w:bookmarkEnd w:id="118"/>
      <w:r>
        <w:rPr>
          <w:rFonts w:hint="eastAsia" w:ascii="宋体" w:hAnsi="宋体" w:eastAsia="宋体" w:cs="宋体"/>
          <w:kern w:val="2"/>
          <w:sz w:val="24"/>
          <w:szCs w:val="24"/>
          <w:lang w:val="en-US" w:eastAsia="zh-CN" w:bidi="ar-SA"/>
        </w:rPr>
        <w:t xml:space="preserve">  </w:t>
      </w:r>
    </w:p>
    <w:p w14:paraId="47E56213">
      <w:pPr>
        <w:keepNext w:val="0"/>
        <w:keepLines w:val="0"/>
        <w:pageBreakBefore w:val="0"/>
        <w:widowControl w:val="0"/>
        <w:tabs>
          <w:tab w:val="left" w:pos="1560"/>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19" w:name="_Toc13871"/>
      <w:r>
        <w:rPr>
          <w:rFonts w:hint="eastAsia" w:ascii="宋体" w:hAnsi="宋体" w:eastAsia="宋体" w:cs="宋体"/>
          <w:kern w:val="2"/>
          <w:sz w:val="24"/>
          <w:szCs w:val="24"/>
          <w:lang w:val="en-US" w:eastAsia="zh-CN" w:bidi="ar-SA"/>
        </w:rPr>
        <w:t>2.2.8.1  具备专业乳腺测量软件包；</w:t>
      </w:r>
      <w:bookmarkEnd w:id="119"/>
    </w:p>
    <w:p w14:paraId="2544CCA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20" w:name="_Toc13949"/>
      <w:r>
        <w:rPr>
          <w:rFonts w:hint="eastAsia" w:ascii="宋体" w:hAnsi="宋体" w:eastAsia="宋体" w:cs="宋体"/>
          <w:kern w:val="2"/>
          <w:sz w:val="24"/>
          <w:szCs w:val="24"/>
          <w:lang w:val="en-US" w:eastAsia="zh-CN" w:bidi="ar-SA"/>
        </w:rPr>
        <w:t>2.2.8.2  具备乳腺占位分布图；</w:t>
      </w:r>
      <w:bookmarkEnd w:id="120"/>
    </w:p>
    <w:p w14:paraId="57E2172C">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21" w:name="_Toc2819"/>
      <w:r>
        <w:rPr>
          <w:rFonts w:hint="eastAsia" w:ascii="宋体" w:hAnsi="宋体" w:eastAsia="宋体" w:cs="宋体"/>
          <w:kern w:val="2"/>
          <w:sz w:val="24"/>
          <w:szCs w:val="24"/>
          <w:lang w:val="en-US" w:eastAsia="zh-CN" w:bidi="ar-SA"/>
        </w:rPr>
        <w:t>2.2.9   髋关节角度测量与分析</w:t>
      </w:r>
      <w:bookmarkEnd w:id="121"/>
      <w:r>
        <w:rPr>
          <w:rFonts w:hint="eastAsia" w:ascii="宋体" w:hAnsi="宋体" w:eastAsia="宋体" w:cs="宋体"/>
          <w:kern w:val="2"/>
          <w:sz w:val="24"/>
          <w:szCs w:val="24"/>
          <w:lang w:val="en-US" w:eastAsia="zh-CN" w:bidi="ar-SA"/>
        </w:rPr>
        <w:t xml:space="preserve">  </w:t>
      </w:r>
    </w:p>
    <w:p w14:paraId="6D600C5F">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22" w:name="_Toc19731"/>
      <w:r>
        <w:rPr>
          <w:rFonts w:hint="eastAsia" w:ascii="宋体" w:hAnsi="宋体" w:eastAsia="宋体" w:cs="宋体"/>
          <w:kern w:val="2"/>
          <w:sz w:val="24"/>
          <w:szCs w:val="24"/>
          <w:lang w:val="en-US" w:eastAsia="zh-CN" w:bidi="ar-SA"/>
        </w:rPr>
        <w:t>2.2.9.1  可显示基于Graf分布的髋臼类型；</w:t>
      </w:r>
      <w:bookmarkEnd w:id="122"/>
    </w:p>
    <w:p w14:paraId="54F6781A">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23" w:name="_Toc18476"/>
      <w:r>
        <w:rPr>
          <w:rFonts w:hint="eastAsia" w:ascii="宋体" w:hAnsi="宋体" w:eastAsia="宋体" w:cs="宋体"/>
          <w:kern w:val="2"/>
          <w:sz w:val="24"/>
          <w:szCs w:val="24"/>
          <w:lang w:val="en-US" w:eastAsia="zh-CN" w:bidi="ar-SA"/>
        </w:rPr>
        <w:t>2.2.10  报告功能：可以调取既往测量报告，历史检查数据可在报告中分开显示；</w:t>
      </w:r>
      <w:bookmarkEnd w:id="123"/>
    </w:p>
    <w:p w14:paraId="4C9009B1">
      <w:pPr>
        <w:keepNext w:val="0"/>
        <w:keepLines w:val="0"/>
        <w:pageBreakBefore w:val="0"/>
        <w:widowControl w:val="0"/>
        <w:kinsoku/>
        <w:wordWrap/>
        <w:overflowPunct/>
        <w:topLinePunct w:val="0"/>
        <w:autoSpaceDE/>
        <w:autoSpaceDN/>
        <w:bidi w:val="0"/>
        <w:adjustRightInd/>
        <w:snapToGrid w:val="0"/>
        <w:spacing w:line="480" w:lineRule="exact"/>
        <w:ind w:left="2409" w:hanging="2752" w:hangingChars="1147"/>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24" w:name="_Toc21110"/>
      <w:r>
        <w:rPr>
          <w:rFonts w:hint="eastAsia" w:ascii="宋体" w:hAnsi="宋体" w:eastAsia="宋体" w:cs="宋体"/>
          <w:kern w:val="2"/>
          <w:sz w:val="24"/>
          <w:szCs w:val="24"/>
          <w:lang w:val="en-US" w:eastAsia="zh-CN" w:bidi="ar-SA"/>
        </w:rPr>
        <w:t>2.2.10.1  具备产科、妇科、心功能、血管、IMT（内中膜厚度）、泌尿科、</w:t>
      </w:r>
      <w:bookmarkEnd w:id="124"/>
    </w:p>
    <w:p w14:paraId="21CE7E4F">
      <w:pPr>
        <w:keepNext w:val="0"/>
        <w:keepLines w:val="0"/>
        <w:pageBreakBefore w:val="0"/>
        <w:widowControl w:val="0"/>
        <w:kinsoku/>
        <w:wordWrap/>
        <w:overflowPunct/>
        <w:topLinePunct w:val="0"/>
        <w:autoSpaceDE/>
        <w:autoSpaceDN/>
        <w:bidi w:val="0"/>
        <w:adjustRightInd/>
        <w:snapToGrid w:val="0"/>
        <w:spacing w:line="480" w:lineRule="exact"/>
        <w:ind w:left="2409" w:hanging="2752" w:hangingChars="1147"/>
        <w:jc w:val="left"/>
        <w:outlineLvl w:val="0"/>
        <w:rPr>
          <w:rFonts w:hint="eastAsia" w:ascii="宋体" w:hAnsi="宋体" w:eastAsia="宋体" w:cs="宋体"/>
          <w:kern w:val="2"/>
          <w:sz w:val="24"/>
          <w:szCs w:val="24"/>
          <w:lang w:val="en-US" w:eastAsia="zh-CN" w:bidi="ar-SA"/>
        </w:rPr>
      </w:pPr>
      <w:bookmarkStart w:id="125" w:name="_Toc17032"/>
      <w:r>
        <w:rPr>
          <w:rFonts w:hint="eastAsia" w:ascii="宋体" w:hAnsi="宋体" w:eastAsia="宋体" w:cs="宋体"/>
          <w:kern w:val="2"/>
          <w:sz w:val="24"/>
          <w:szCs w:val="24"/>
          <w:lang w:val="en-US" w:eastAsia="zh-CN" w:bidi="ar-SA"/>
        </w:rPr>
        <w:t>腹部测量、小器官等报告。</w:t>
      </w:r>
      <w:bookmarkEnd w:id="125"/>
    </w:p>
    <w:p w14:paraId="0CCF7D86">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126" w:name="_Toc109"/>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.3  图像存储与（电影）回放重现单元</w:t>
      </w:r>
      <w:bookmarkEnd w:id="126"/>
    </w:p>
    <w:p w14:paraId="17EEEF1C">
      <w:pPr>
        <w:keepNext w:val="0"/>
        <w:keepLines w:val="0"/>
        <w:pageBreakBefore w:val="0"/>
        <w:widowControl w:val="0"/>
        <w:tabs>
          <w:tab w:val="left" w:pos="709"/>
          <w:tab w:val="left" w:pos="851"/>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27" w:name="_Toc11169"/>
      <w:r>
        <w:rPr>
          <w:rFonts w:hint="eastAsia" w:ascii="宋体" w:hAnsi="宋体" w:eastAsia="宋体" w:cs="宋体"/>
          <w:kern w:val="2"/>
          <w:sz w:val="24"/>
          <w:szCs w:val="24"/>
          <w:lang w:val="en-US" w:eastAsia="zh-CN" w:bidi="ar-SA"/>
        </w:rPr>
        <w:t>3.3.1   主机硬盘≥500G，</w:t>
      </w:r>
      <w:bookmarkStart w:id="128" w:name="_Hlk134262537"/>
      <w:r>
        <w:rPr>
          <w:rFonts w:hint="eastAsia" w:ascii="宋体" w:hAnsi="宋体" w:eastAsia="宋体" w:cs="宋体"/>
          <w:kern w:val="2"/>
          <w:sz w:val="24"/>
          <w:szCs w:val="24"/>
          <w:lang w:val="en-US" w:eastAsia="zh-CN" w:bidi="ar-SA"/>
        </w:rPr>
        <w:t>电影回放单元≥63500帧</w:t>
      </w:r>
      <w:bookmarkEnd w:id="128"/>
      <w:r>
        <w:rPr>
          <w:rFonts w:hint="eastAsia" w:ascii="宋体" w:hAnsi="宋体" w:eastAsia="宋体" w:cs="宋体"/>
          <w:kern w:val="2"/>
          <w:sz w:val="24"/>
          <w:szCs w:val="24"/>
          <w:lang w:val="en-US" w:eastAsia="zh-CN" w:bidi="ar-SA"/>
        </w:rPr>
        <w:t>；</w:t>
      </w:r>
      <w:bookmarkEnd w:id="127"/>
    </w:p>
    <w:p w14:paraId="4EDE400A">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129" w:name="_Toc17555"/>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.4  输入/输出信号：</w:t>
      </w:r>
      <w:bookmarkEnd w:id="129"/>
    </w:p>
    <w:p w14:paraId="73FA8BF4">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30" w:name="_Toc11848"/>
      <w:r>
        <w:rPr>
          <w:rFonts w:hint="eastAsia" w:ascii="宋体" w:hAnsi="宋体" w:eastAsia="宋体" w:cs="宋体"/>
          <w:kern w:val="2"/>
          <w:sz w:val="24"/>
          <w:szCs w:val="24"/>
          <w:lang w:val="en-US" w:eastAsia="zh-CN" w:bidi="ar-SA"/>
        </w:rPr>
        <w:t>3.4.1   输入：不少于DVI、S端子；</w:t>
      </w:r>
      <w:bookmarkEnd w:id="130"/>
    </w:p>
    <w:p w14:paraId="610472D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31" w:name="_Toc5471"/>
      <w:r>
        <w:rPr>
          <w:rFonts w:hint="eastAsia" w:ascii="宋体" w:hAnsi="宋体" w:eastAsia="宋体" w:cs="宋体"/>
          <w:kern w:val="2"/>
          <w:sz w:val="24"/>
          <w:szCs w:val="24"/>
          <w:lang w:val="en-US" w:eastAsia="zh-CN" w:bidi="ar-SA"/>
        </w:rPr>
        <w:t>3.4.2   输出：不少于DVI、S端子；</w:t>
      </w:r>
      <w:bookmarkEnd w:id="131"/>
    </w:p>
    <w:p w14:paraId="1BCA72C4">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132" w:name="_Toc18661"/>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.5  图像管理与记录装置</w:t>
      </w:r>
      <w:bookmarkEnd w:id="132"/>
    </w:p>
    <w:p w14:paraId="1BE87CDA">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33" w:name="_Toc13216"/>
      <w:r>
        <w:rPr>
          <w:rFonts w:hint="eastAsia" w:ascii="宋体" w:hAnsi="宋体" w:eastAsia="宋体" w:cs="宋体"/>
          <w:kern w:val="2"/>
          <w:sz w:val="24"/>
          <w:szCs w:val="24"/>
          <w:lang w:val="en-US" w:eastAsia="zh-CN" w:bidi="ar-SA"/>
        </w:rPr>
        <w:t>2.5.1   超声图像存档与病案管理；</w:t>
      </w:r>
      <w:bookmarkEnd w:id="133"/>
    </w:p>
    <w:p w14:paraId="5462E72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34" w:name="_Toc25725"/>
      <w:r>
        <w:rPr>
          <w:rFonts w:hint="eastAsia" w:ascii="宋体" w:hAnsi="宋体" w:eastAsia="宋体" w:cs="宋体"/>
          <w:kern w:val="2"/>
          <w:sz w:val="24"/>
          <w:szCs w:val="24"/>
          <w:lang w:val="en-US" w:eastAsia="zh-CN" w:bidi="ar-SA"/>
        </w:rPr>
        <w:t xml:space="preserve">2.5.2   </w:t>
      </w:r>
      <w:bookmarkStart w:id="135" w:name="_Hlk190265354"/>
      <w:r>
        <w:rPr>
          <w:rFonts w:hint="eastAsia" w:ascii="宋体" w:hAnsi="宋体" w:eastAsia="宋体" w:cs="宋体"/>
          <w:kern w:val="2"/>
          <w:sz w:val="24"/>
          <w:szCs w:val="24"/>
          <w:lang w:val="en-US" w:eastAsia="zh-CN" w:bidi="ar-SA"/>
        </w:rPr>
        <w:t>内置DICOM 3.0标准输出接口</w:t>
      </w:r>
      <w:bookmarkEnd w:id="135"/>
      <w:r>
        <w:rPr>
          <w:rFonts w:hint="eastAsia" w:ascii="宋体" w:hAnsi="宋体" w:eastAsia="宋体" w:cs="宋体"/>
          <w:kern w:val="2"/>
          <w:sz w:val="24"/>
          <w:szCs w:val="24"/>
          <w:lang w:val="en-US" w:eastAsia="zh-CN" w:bidi="ar-SA"/>
        </w:rPr>
        <w:t>；</w:t>
      </w:r>
      <w:bookmarkEnd w:id="134"/>
    </w:p>
    <w:p w14:paraId="5FDC1C8A">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136" w:name="_Toc15342"/>
      <w:r>
        <w:rPr>
          <w:rFonts w:hint="eastAsia" w:ascii="宋体" w:hAnsi="宋体" w:eastAsia="宋体" w:cs="宋体"/>
          <w:snapToGrid/>
          <w:kern w:val="2"/>
          <w:sz w:val="24"/>
          <w:szCs w:val="24"/>
          <w:lang w:val="en-US" w:eastAsia="zh-CN"/>
        </w:rPr>
        <w:t>2</w:t>
      </w:r>
      <w:r>
        <w:rPr>
          <w:rFonts w:hint="eastAsia" w:ascii="宋体" w:hAnsi="宋体" w:eastAsia="宋体" w:cs="宋体"/>
          <w:snapToGrid/>
          <w:kern w:val="2"/>
          <w:sz w:val="24"/>
          <w:szCs w:val="24"/>
          <w:lang w:eastAsia="zh-CN"/>
        </w:rPr>
        <w:t>.6  具备DICOM网络连接。</w:t>
      </w:r>
      <w:bookmarkEnd w:id="136"/>
    </w:p>
    <w:p w14:paraId="6CED1263">
      <w:pPr>
        <w:keepNext w:val="0"/>
        <w:keepLines w:val="0"/>
        <w:pageBreakBefore w:val="0"/>
        <w:widowControl w:val="0"/>
        <w:tabs>
          <w:tab w:val="left" w:pos="709"/>
        </w:tabs>
        <w:kinsoku/>
        <w:wordWrap/>
        <w:overflowPunct/>
        <w:topLinePunct w:val="0"/>
        <w:autoSpaceDE/>
        <w:autoSpaceDN/>
        <w:bidi w:val="0"/>
        <w:adjustRightInd/>
        <w:snapToGrid w:val="0"/>
        <w:spacing w:line="480" w:lineRule="exact"/>
        <w:jc w:val="left"/>
        <w:textAlignment w:val="auto"/>
        <w:outlineLvl w:val="0"/>
        <w:rPr>
          <w:rFonts w:hint="eastAsia" w:ascii="宋体" w:hAnsi="宋体" w:eastAsia="宋体" w:cs="宋体"/>
          <w:snapToGrid/>
          <w:kern w:val="2"/>
          <w:sz w:val="24"/>
          <w:szCs w:val="24"/>
          <w:lang w:eastAsia="zh-CN"/>
        </w:rPr>
      </w:pPr>
      <w:bookmarkStart w:id="137" w:name="_Toc32756"/>
      <w:r>
        <w:rPr>
          <w:rFonts w:hint="eastAsia" w:ascii="宋体" w:hAnsi="宋体" w:eastAsia="宋体" w:cs="宋体"/>
          <w:b/>
          <w:snapToGrid/>
          <w:kern w:val="2"/>
          <w:sz w:val="24"/>
          <w:szCs w:val="24"/>
          <w:lang w:eastAsia="zh-CN"/>
        </w:rPr>
        <w:t>（</w:t>
      </w:r>
      <w:r>
        <w:rPr>
          <w:rFonts w:hint="eastAsia" w:ascii="宋体" w:hAnsi="宋体" w:eastAsia="宋体" w:cs="宋体"/>
          <w:b/>
          <w:snapToGrid/>
          <w:kern w:val="2"/>
          <w:sz w:val="24"/>
          <w:szCs w:val="24"/>
          <w:lang w:val="en-US" w:eastAsia="zh-CN"/>
        </w:rPr>
        <w:t>三）</w:t>
      </w:r>
      <w:r>
        <w:rPr>
          <w:rFonts w:hint="eastAsia" w:ascii="宋体" w:hAnsi="宋体" w:eastAsia="宋体" w:cs="宋体"/>
          <w:b/>
          <w:snapToGrid/>
          <w:kern w:val="2"/>
          <w:sz w:val="24"/>
          <w:szCs w:val="24"/>
          <w:lang w:eastAsia="zh-CN"/>
        </w:rPr>
        <w:t>技术参数及要求</w:t>
      </w:r>
      <w:bookmarkEnd w:id="137"/>
    </w:p>
    <w:p w14:paraId="6823C570">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138" w:name="_Toc31619"/>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.1  系统通用规格：</w:t>
      </w:r>
      <w:bookmarkEnd w:id="138"/>
    </w:p>
    <w:p w14:paraId="0915E348">
      <w:pPr>
        <w:keepNext w:val="0"/>
        <w:keepLines w:val="0"/>
        <w:pageBreakBefore w:val="0"/>
        <w:widowControl w:val="0"/>
        <w:tabs>
          <w:tab w:val="left" w:pos="709"/>
        </w:tabs>
        <w:kinsoku/>
        <w:wordWrap/>
        <w:overflowPunct/>
        <w:topLinePunct w:val="0"/>
        <w:autoSpaceDE/>
        <w:autoSpaceDN/>
        <w:bidi w:val="0"/>
        <w:adjustRightInd/>
        <w:snapToGrid w:val="0"/>
        <w:spacing w:line="480" w:lineRule="exact"/>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39" w:name="_Toc32225"/>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.1.</w:t>
      </w:r>
      <w:r>
        <w:rPr>
          <w:rFonts w:hint="eastAsia" w:ascii="宋体" w:hAnsi="宋体" w:eastAsia="宋体" w:cs="宋体"/>
          <w:snapToGrid/>
          <w:kern w:val="2"/>
          <w:sz w:val="24"/>
          <w:szCs w:val="24"/>
          <w:lang w:val="en-US" w:eastAsia="zh-CN"/>
        </w:rPr>
        <w:t>1</w:t>
      </w:r>
      <w:r>
        <w:rPr>
          <w:rFonts w:hint="eastAsia" w:ascii="宋体" w:hAnsi="宋体" w:eastAsia="宋体" w:cs="宋体"/>
          <w:snapToGrid/>
          <w:kern w:val="2"/>
          <w:sz w:val="24"/>
          <w:szCs w:val="24"/>
          <w:lang w:eastAsia="zh-CN"/>
        </w:rPr>
        <w:t xml:space="preserve"> 可任意互换电子探头接口：≥4个</w:t>
      </w:r>
      <w:r>
        <w:rPr>
          <w:rFonts w:hint="eastAsia" w:ascii="宋体" w:hAnsi="宋体" w:eastAsia="宋体" w:cs="宋体"/>
          <w:kern w:val="2"/>
          <w:sz w:val="24"/>
          <w:szCs w:val="24"/>
          <w:lang w:val="en-US" w:eastAsia="zh-CN" w:bidi="ar-SA"/>
        </w:rPr>
        <w:t>；</w:t>
      </w:r>
      <w:bookmarkEnd w:id="139"/>
    </w:p>
    <w:p w14:paraId="09088D50">
      <w:pPr>
        <w:keepNext w:val="0"/>
        <w:keepLines w:val="0"/>
        <w:pageBreakBefore w:val="0"/>
        <w:widowControl w:val="0"/>
        <w:tabs>
          <w:tab w:val="left" w:pos="709"/>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40" w:name="_Toc29657"/>
      <w:r>
        <w:rPr>
          <w:rFonts w:hint="eastAsia" w:ascii="宋体" w:hAnsi="宋体" w:eastAsia="宋体" w:cs="宋体"/>
          <w:kern w:val="2"/>
          <w:sz w:val="24"/>
          <w:szCs w:val="24"/>
          <w:lang w:val="en-US" w:eastAsia="zh-CN" w:bidi="ar-SA"/>
        </w:rPr>
        <w:t>3.1.2 预设条件：针对不同的检查领域、病人条件，预设及用户自定义最优参数条件；</w:t>
      </w:r>
      <w:bookmarkEnd w:id="140"/>
    </w:p>
    <w:p w14:paraId="59BD3975">
      <w:pPr>
        <w:keepNext w:val="0"/>
        <w:keepLines w:val="0"/>
        <w:pageBreakBefore w:val="0"/>
        <w:widowControl w:val="0"/>
        <w:tabs>
          <w:tab w:val="left" w:pos="709"/>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41" w:name="_Toc17956"/>
      <w:r>
        <w:rPr>
          <w:rFonts w:hint="eastAsia" w:ascii="宋体" w:hAnsi="宋体" w:eastAsia="宋体" w:cs="宋体"/>
          <w:kern w:val="2"/>
          <w:sz w:val="24"/>
          <w:szCs w:val="24"/>
          <w:lang w:val="en-US" w:eastAsia="zh-CN" w:bidi="ar-SA"/>
        </w:rPr>
        <w:t>3.1.3 系统动态范围≥272dB 。</w:t>
      </w:r>
      <w:bookmarkEnd w:id="141"/>
    </w:p>
    <w:p w14:paraId="5CDC396B">
      <w:pPr>
        <w:keepNext w:val="0"/>
        <w:keepLines w:val="0"/>
        <w:pageBreakBefore w:val="0"/>
        <w:widowControl w:val="0"/>
        <w:kinsoku/>
        <w:wordWrap/>
        <w:overflowPunct/>
        <w:topLinePunct w:val="0"/>
        <w:autoSpaceDE/>
        <w:autoSpaceDN/>
        <w:bidi w:val="0"/>
        <w:adjustRightInd/>
        <w:snapToGrid w:val="0"/>
        <w:spacing w:line="480" w:lineRule="exact"/>
        <w:ind w:firstLine="120" w:firstLineChars="50"/>
        <w:jc w:val="left"/>
        <w:textAlignment w:val="auto"/>
        <w:outlineLvl w:val="0"/>
        <w:rPr>
          <w:rFonts w:hint="eastAsia" w:ascii="宋体" w:hAnsi="宋体" w:eastAsia="宋体" w:cs="宋体"/>
          <w:snapToGrid/>
          <w:kern w:val="2"/>
          <w:sz w:val="24"/>
          <w:szCs w:val="24"/>
          <w:lang w:eastAsia="zh-CN"/>
        </w:rPr>
      </w:pPr>
      <w:bookmarkStart w:id="142" w:name="_Toc28761"/>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  探头规格</w:t>
      </w:r>
      <w:bookmarkEnd w:id="142"/>
    </w:p>
    <w:p w14:paraId="36D254D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43" w:name="_Toc5485"/>
      <w:r>
        <w:rPr>
          <w:rFonts w:hint="eastAsia" w:ascii="宋体" w:hAnsi="宋体" w:eastAsia="宋体" w:cs="宋体"/>
          <w:kern w:val="2"/>
          <w:sz w:val="24"/>
          <w:szCs w:val="24"/>
          <w:lang w:val="en-US" w:eastAsia="zh-CN" w:bidi="ar-SA"/>
        </w:rPr>
        <w:t>3.2.1  频率：超宽频或变频探头，中心频率可视可调；</w:t>
      </w:r>
      <w:bookmarkEnd w:id="143"/>
    </w:p>
    <w:p w14:paraId="32771A8D">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44" w:name="_Toc26189"/>
      <w:r>
        <w:rPr>
          <w:rFonts w:hint="eastAsia" w:ascii="宋体" w:hAnsi="宋体" w:eastAsia="宋体" w:cs="宋体"/>
          <w:kern w:val="2"/>
          <w:sz w:val="24"/>
          <w:szCs w:val="24"/>
          <w:lang w:val="en-US" w:eastAsia="zh-CN" w:bidi="ar-SA"/>
        </w:rPr>
        <w:t>★3.2.2  类型：凸阵探头、线阵探头、相控阵探头、腔内探头、（凸+线）双平面探头；</w:t>
      </w:r>
      <w:bookmarkEnd w:id="144"/>
    </w:p>
    <w:p w14:paraId="53D2B57C">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45" w:name="_Toc29126"/>
      <w:r>
        <w:rPr>
          <w:rFonts w:hint="eastAsia" w:ascii="宋体" w:hAnsi="宋体" w:eastAsia="宋体" w:cs="宋体"/>
          <w:kern w:val="2"/>
          <w:sz w:val="24"/>
          <w:szCs w:val="24"/>
          <w:lang w:val="en-US" w:eastAsia="zh-CN" w:bidi="ar-SA"/>
        </w:rPr>
        <w:t>3.2.3  B、D、M兼用；</w:t>
      </w:r>
      <w:bookmarkEnd w:id="145"/>
    </w:p>
    <w:p w14:paraId="3D96C98E">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46" w:name="_Toc22974"/>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.2.4  探头工作频率范围</w:t>
      </w:r>
      <w:bookmarkEnd w:id="146"/>
      <w:r>
        <w:rPr>
          <w:rFonts w:hint="eastAsia" w:ascii="宋体" w:hAnsi="宋体" w:eastAsia="宋体" w:cs="宋体"/>
          <w:snapToGrid/>
          <w:kern w:val="2"/>
          <w:sz w:val="24"/>
          <w:szCs w:val="24"/>
          <w:lang w:eastAsia="zh-CN"/>
        </w:rPr>
        <w:t xml:space="preserve">      </w:t>
      </w:r>
    </w:p>
    <w:p w14:paraId="72BFBB45">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47" w:name="_Toc13468"/>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 xml:space="preserve">.2.4.1   凸阵：频率 1-5 MHz </w:t>
      </w:r>
      <w:r>
        <w:rPr>
          <w:rFonts w:hint="eastAsia" w:ascii="宋体" w:hAnsi="宋体" w:eastAsia="宋体" w:cs="宋体"/>
          <w:kern w:val="2"/>
          <w:sz w:val="24"/>
          <w:szCs w:val="24"/>
          <w:lang w:val="en-US" w:eastAsia="zh-CN" w:bidi="ar-SA"/>
        </w:rPr>
        <w:t>；</w:t>
      </w:r>
      <w:bookmarkEnd w:id="147"/>
      <w:r>
        <w:rPr>
          <w:rFonts w:hint="eastAsia" w:ascii="宋体" w:hAnsi="宋体" w:eastAsia="宋体" w:cs="宋体"/>
          <w:snapToGrid/>
          <w:kern w:val="2"/>
          <w:sz w:val="24"/>
          <w:szCs w:val="24"/>
          <w:lang w:eastAsia="zh-CN"/>
        </w:rPr>
        <w:t xml:space="preserve"> </w:t>
      </w:r>
    </w:p>
    <w:p w14:paraId="0333A4F1">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48" w:name="_Toc5602"/>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 xml:space="preserve">.2.4.2   线阵：频率 5-13 MHz </w:t>
      </w:r>
      <w:r>
        <w:rPr>
          <w:rFonts w:hint="eastAsia" w:ascii="宋体" w:hAnsi="宋体" w:eastAsia="宋体" w:cs="宋体"/>
          <w:kern w:val="2"/>
          <w:sz w:val="24"/>
          <w:szCs w:val="24"/>
          <w:lang w:val="en-US" w:eastAsia="zh-CN" w:bidi="ar-SA"/>
        </w:rPr>
        <w:t>；</w:t>
      </w:r>
      <w:bookmarkEnd w:id="148"/>
      <w:r>
        <w:rPr>
          <w:rFonts w:hint="eastAsia" w:ascii="宋体" w:hAnsi="宋体" w:eastAsia="宋体" w:cs="宋体"/>
          <w:snapToGrid/>
          <w:kern w:val="2"/>
          <w:sz w:val="24"/>
          <w:szCs w:val="24"/>
          <w:lang w:eastAsia="zh-CN"/>
        </w:rPr>
        <w:t xml:space="preserve"> </w:t>
      </w:r>
    </w:p>
    <w:p w14:paraId="401E631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49" w:name="_Toc24027"/>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.2.4.3   相控阵：频率 1-5 MHz</w:t>
      </w:r>
      <w:r>
        <w:rPr>
          <w:rFonts w:hint="eastAsia" w:ascii="宋体" w:hAnsi="宋体" w:eastAsia="宋体" w:cs="宋体"/>
          <w:kern w:val="2"/>
          <w:sz w:val="24"/>
          <w:szCs w:val="24"/>
          <w:lang w:val="en-US" w:eastAsia="zh-CN" w:bidi="ar-SA"/>
        </w:rPr>
        <w:t>；</w:t>
      </w:r>
      <w:bookmarkEnd w:id="149"/>
    </w:p>
    <w:p w14:paraId="23FDCFDC">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50" w:name="_Toc15936"/>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.2.4.3   腔内：频率 2-10 MHz</w:t>
      </w:r>
      <w:r>
        <w:rPr>
          <w:rFonts w:hint="eastAsia" w:ascii="宋体" w:hAnsi="宋体" w:eastAsia="宋体" w:cs="宋体"/>
          <w:kern w:val="2"/>
          <w:sz w:val="24"/>
          <w:szCs w:val="24"/>
          <w:lang w:val="en-US" w:eastAsia="zh-CN" w:bidi="ar-SA"/>
        </w:rPr>
        <w:t>；</w:t>
      </w:r>
      <w:bookmarkEnd w:id="150"/>
    </w:p>
    <w:p w14:paraId="12400B2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51" w:name="_Toc16661"/>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 xml:space="preserve">.2.4.3   双平面探头：频率 （凸阵+线阵），4.0-8.0MHz /5.0-10.0MHz  </w:t>
      </w:r>
      <w:r>
        <w:rPr>
          <w:rFonts w:hint="eastAsia" w:ascii="宋体" w:hAnsi="宋体" w:eastAsia="宋体" w:cs="宋体"/>
          <w:kern w:val="2"/>
          <w:sz w:val="24"/>
          <w:szCs w:val="24"/>
          <w:lang w:val="en-US" w:eastAsia="zh-CN" w:bidi="ar-SA"/>
        </w:rPr>
        <w:t>；</w:t>
      </w:r>
      <w:bookmarkEnd w:id="151"/>
      <w:r>
        <w:rPr>
          <w:rFonts w:hint="eastAsia" w:ascii="宋体" w:hAnsi="宋体" w:eastAsia="宋体" w:cs="宋体"/>
          <w:snapToGrid/>
          <w:kern w:val="2"/>
          <w:sz w:val="24"/>
          <w:szCs w:val="24"/>
          <w:lang w:eastAsia="zh-CN"/>
        </w:rPr>
        <w:t xml:space="preserve">    </w:t>
      </w:r>
    </w:p>
    <w:p w14:paraId="1BB1CBA0">
      <w:pPr>
        <w:keepNext w:val="0"/>
        <w:keepLines w:val="0"/>
        <w:pageBreakBefore w:val="0"/>
        <w:widowControl w:val="0"/>
        <w:tabs>
          <w:tab w:val="left" w:pos="4962"/>
        </w:tabs>
        <w:kinsoku/>
        <w:wordWrap/>
        <w:overflowPunct/>
        <w:topLinePunct w:val="0"/>
        <w:autoSpaceDE/>
        <w:autoSpaceDN/>
        <w:bidi w:val="0"/>
        <w:adjustRightInd/>
        <w:snapToGrid w:val="0"/>
        <w:spacing w:line="480" w:lineRule="exact"/>
        <w:ind w:firstLine="840" w:firstLineChars="350"/>
        <w:jc w:val="left"/>
        <w:textAlignment w:val="auto"/>
        <w:outlineLvl w:val="0"/>
        <w:rPr>
          <w:rFonts w:hint="eastAsia" w:ascii="宋体" w:hAnsi="宋体" w:eastAsia="宋体" w:cs="宋体"/>
          <w:snapToGrid/>
          <w:kern w:val="2"/>
          <w:sz w:val="24"/>
          <w:szCs w:val="24"/>
          <w:lang w:eastAsia="zh-CN"/>
        </w:rPr>
      </w:pPr>
      <w:bookmarkStart w:id="152" w:name="_Toc9657"/>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.2.5   穿刺导向：探头可选配穿刺导向装置</w:t>
      </w:r>
      <w:r>
        <w:rPr>
          <w:rFonts w:hint="eastAsia" w:ascii="宋体" w:hAnsi="宋体" w:eastAsia="宋体" w:cs="宋体"/>
          <w:kern w:val="2"/>
          <w:sz w:val="24"/>
          <w:szCs w:val="24"/>
          <w:lang w:val="en-US" w:eastAsia="zh-CN" w:bidi="ar-SA"/>
        </w:rPr>
        <w:t>；</w:t>
      </w:r>
      <w:bookmarkEnd w:id="152"/>
    </w:p>
    <w:p w14:paraId="1969A694">
      <w:pPr>
        <w:keepNext w:val="0"/>
        <w:keepLines w:val="0"/>
        <w:pageBreakBefore w:val="0"/>
        <w:widowControl w:val="0"/>
        <w:kinsoku/>
        <w:wordWrap/>
        <w:overflowPunct/>
        <w:topLinePunct w:val="0"/>
        <w:autoSpaceDE/>
        <w:autoSpaceDN/>
        <w:bidi w:val="0"/>
        <w:adjustRightInd/>
        <w:snapToGrid w:val="0"/>
        <w:spacing w:line="480" w:lineRule="exact"/>
        <w:ind w:left="585" w:leftChars="5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53" w:name="_Toc25814"/>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 xml:space="preserve">.2.6  最大扫描深度 ≥40cm </w:t>
      </w:r>
      <w:r>
        <w:rPr>
          <w:rFonts w:hint="eastAsia" w:ascii="宋体" w:hAnsi="宋体" w:eastAsia="宋体" w:cs="宋体"/>
          <w:kern w:val="2"/>
          <w:sz w:val="24"/>
          <w:szCs w:val="24"/>
          <w:lang w:val="en-US" w:eastAsia="zh-CN" w:bidi="ar-SA"/>
        </w:rPr>
        <w:t>；</w:t>
      </w:r>
      <w:bookmarkEnd w:id="153"/>
    </w:p>
    <w:p w14:paraId="1F9DA747">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54" w:name="_Toc788"/>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.2.7  配经直肠双平面探头（凸阵+线阵），支持弹性、宽景成像功能</w:t>
      </w:r>
      <w:r>
        <w:rPr>
          <w:rFonts w:hint="eastAsia" w:ascii="宋体" w:hAnsi="宋体" w:eastAsia="宋体" w:cs="宋体"/>
          <w:kern w:val="2"/>
          <w:sz w:val="24"/>
          <w:szCs w:val="24"/>
          <w:lang w:val="en-US" w:eastAsia="zh-CN" w:bidi="ar-SA"/>
        </w:rPr>
        <w:t>；</w:t>
      </w:r>
      <w:bookmarkEnd w:id="154"/>
    </w:p>
    <w:p w14:paraId="1C08A228">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55" w:name="_Toc28042"/>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.2.8  相控阵探头扫描角度：常规≥90°；最大可扩展120°。</w:t>
      </w:r>
      <w:bookmarkEnd w:id="155"/>
    </w:p>
    <w:p w14:paraId="538C2997">
      <w:pPr>
        <w:keepNext w:val="0"/>
        <w:keepLines w:val="0"/>
        <w:pageBreakBefore w:val="0"/>
        <w:widowControl w:val="0"/>
        <w:tabs>
          <w:tab w:val="left" w:pos="709"/>
          <w:tab w:val="left" w:pos="1418"/>
        </w:tabs>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bookmarkStart w:id="156" w:name="_Toc5831"/>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.3  灰阶显像主要参数：</w:t>
      </w:r>
      <w:bookmarkEnd w:id="156"/>
    </w:p>
    <w:p w14:paraId="0C1AC3AF">
      <w:pPr>
        <w:keepNext w:val="0"/>
        <w:keepLines w:val="0"/>
        <w:pageBreakBefore w:val="0"/>
        <w:widowControl w:val="0"/>
        <w:kinsoku/>
        <w:wordWrap/>
        <w:overflowPunct/>
        <w:topLinePunct w:val="0"/>
        <w:autoSpaceDE/>
        <w:autoSpaceDN/>
        <w:bidi w:val="0"/>
        <w:adjustRightInd/>
        <w:snapToGrid w:val="0"/>
        <w:spacing w:line="480" w:lineRule="exact"/>
        <w:ind w:firstLine="720" w:firstLineChars="300"/>
        <w:jc w:val="left"/>
        <w:textAlignment w:val="auto"/>
        <w:outlineLvl w:val="0"/>
        <w:rPr>
          <w:rFonts w:hint="eastAsia" w:ascii="宋体" w:hAnsi="宋体" w:eastAsia="宋体" w:cs="宋体"/>
          <w:snapToGrid/>
          <w:kern w:val="2"/>
          <w:sz w:val="24"/>
          <w:szCs w:val="24"/>
          <w:lang w:eastAsia="zh-CN"/>
        </w:rPr>
      </w:pPr>
      <w:bookmarkStart w:id="157" w:name="_Toc30883"/>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.3.1  发射方式：复合脉冲发射器</w:t>
      </w:r>
      <w:r>
        <w:rPr>
          <w:rFonts w:hint="eastAsia" w:ascii="宋体" w:hAnsi="宋体" w:eastAsia="宋体" w:cs="宋体"/>
          <w:kern w:val="2"/>
          <w:sz w:val="24"/>
          <w:szCs w:val="24"/>
          <w:lang w:val="en-US" w:eastAsia="zh-CN" w:bidi="ar-SA"/>
        </w:rPr>
        <w:t>；</w:t>
      </w:r>
      <w:bookmarkEnd w:id="157"/>
    </w:p>
    <w:p w14:paraId="425E6736">
      <w:pPr>
        <w:keepNext w:val="0"/>
        <w:keepLines w:val="0"/>
        <w:pageBreakBefore w:val="0"/>
        <w:widowControl w:val="0"/>
        <w:kinsoku/>
        <w:wordWrap/>
        <w:overflowPunct/>
        <w:topLinePunct w:val="0"/>
        <w:autoSpaceDE/>
        <w:autoSpaceDN/>
        <w:bidi w:val="0"/>
        <w:adjustRightInd/>
        <w:snapToGrid w:val="0"/>
        <w:spacing w:line="480" w:lineRule="exact"/>
        <w:ind w:firstLine="720" w:firstLineChars="300"/>
        <w:jc w:val="left"/>
        <w:textAlignment w:val="auto"/>
        <w:outlineLvl w:val="0"/>
        <w:rPr>
          <w:rFonts w:hint="eastAsia" w:ascii="宋体" w:hAnsi="宋体" w:eastAsia="宋体" w:cs="宋体"/>
          <w:snapToGrid/>
          <w:kern w:val="2"/>
          <w:sz w:val="24"/>
          <w:szCs w:val="24"/>
          <w:lang w:eastAsia="zh-CN"/>
        </w:rPr>
      </w:pPr>
      <w:bookmarkStart w:id="158" w:name="_Toc13320"/>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.3.2  接收方式：多重高速数字化波束形成器</w:t>
      </w:r>
      <w:r>
        <w:rPr>
          <w:rFonts w:hint="eastAsia" w:ascii="宋体" w:hAnsi="宋体" w:eastAsia="宋体" w:cs="宋体"/>
          <w:kern w:val="2"/>
          <w:sz w:val="24"/>
          <w:szCs w:val="24"/>
          <w:lang w:val="en-US" w:eastAsia="zh-CN" w:bidi="ar-SA"/>
        </w:rPr>
        <w:t>；</w:t>
      </w:r>
      <w:bookmarkEnd w:id="158"/>
    </w:p>
    <w:p w14:paraId="4A5BDC49">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59" w:name="_Toc12768"/>
      <w:r>
        <w:rPr>
          <w:rFonts w:hint="eastAsia" w:ascii="宋体" w:hAnsi="宋体" w:eastAsia="宋体" w:cs="宋体"/>
          <w:kern w:val="2"/>
          <w:sz w:val="24"/>
          <w:szCs w:val="24"/>
          <w:lang w:val="en-US" w:eastAsia="zh-CN" w:bidi="ar-SA"/>
        </w:rPr>
        <w:t>3.3.3  数字式声束形成器： 数字式可变孔径及动态变迹，A/D≥12-bit；</w:t>
      </w:r>
      <w:bookmarkEnd w:id="159"/>
    </w:p>
    <w:p w14:paraId="05906DBB">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60" w:name="_Toc28528"/>
      <w:r>
        <w:rPr>
          <w:rFonts w:hint="eastAsia" w:ascii="宋体" w:hAnsi="宋体" w:eastAsia="宋体" w:cs="宋体"/>
          <w:kern w:val="2"/>
          <w:sz w:val="24"/>
          <w:szCs w:val="24"/>
          <w:lang w:val="en-US" w:eastAsia="zh-CN" w:bidi="ar-SA"/>
        </w:rPr>
        <w:t>3.3.4  增益调节：B、M、CF、D可独立调节</w:t>
      </w:r>
      <w:bookmarkEnd w:id="160"/>
    </w:p>
    <w:p w14:paraId="1D642EA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61" w:name="_Toc31719"/>
      <w:r>
        <w:rPr>
          <w:rFonts w:hint="eastAsia" w:ascii="宋体" w:hAnsi="宋体" w:eastAsia="宋体" w:cs="宋体"/>
          <w:kern w:val="2"/>
          <w:sz w:val="24"/>
          <w:szCs w:val="24"/>
          <w:lang w:val="en-US" w:eastAsia="zh-CN" w:bidi="ar-SA"/>
        </w:rPr>
        <w:t>▲3.3.4.1 TGC时间增益补偿≥8段，LGC侧向增益补偿≥8段；</w:t>
      </w:r>
      <w:bookmarkEnd w:id="161"/>
    </w:p>
    <w:p w14:paraId="15C03316">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62" w:name="_Toc1977"/>
      <w:r>
        <w:rPr>
          <w:rFonts w:hint="eastAsia" w:ascii="宋体" w:hAnsi="宋体" w:eastAsia="宋体" w:cs="宋体"/>
          <w:kern w:val="2"/>
          <w:sz w:val="24"/>
          <w:szCs w:val="24"/>
          <w:lang w:val="en-US" w:eastAsia="zh-CN" w:bidi="ar-SA"/>
        </w:rPr>
        <w:t>3.3.4.2  实时及冻结后均可调  ；</w:t>
      </w:r>
      <w:bookmarkEnd w:id="162"/>
    </w:p>
    <w:p w14:paraId="46BD0BE2">
      <w:pPr>
        <w:keepNext w:val="0"/>
        <w:keepLines w:val="0"/>
        <w:pageBreakBefore w:val="0"/>
        <w:widowControl w:val="0"/>
        <w:kinsoku/>
        <w:wordWrap/>
        <w:overflowPunct/>
        <w:topLinePunct w:val="0"/>
        <w:autoSpaceDE/>
        <w:autoSpaceDN/>
        <w:bidi w:val="0"/>
        <w:adjustRightInd/>
        <w:snapToGrid w:val="0"/>
        <w:spacing w:line="480" w:lineRule="exact"/>
        <w:ind w:firstLine="720" w:firstLineChars="300"/>
        <w:jc w:val="left"/>
        <w:textAlignment w:val="auto"/>
        <w:outlineLvl w:val="0"/>
        <w:rPr>
          <w:rFonts w:hint="eastAsia" w:ascii="宋体" w:hAnsi="宋体" w:eastAsia="宋体" w:cs="宋体"/>
          <w:snapToGrid/>
          <w:kern w:val="2"/>
          <w:sz w:val="24"/>
          <w:szCs w:val="24"/>
          <w:lang w:eastAsia="zh-CN"/>
        </w:rPr>
      </w:pPr>
      <w:bookmarkStart w:id="163" w:name="_Toc3728"/>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.3.5  成像速率</w:t>
      </w:r>
      <w:bookmarkEnd w:id="163"/>
    </w:p>
    <w:p w14:paraId="365BA674">
      <w:pPr>
        <w:keepNext w:val="0"/>
        <w:keepLines w:val="0"/>
        <w:pageBreakBefore w:val="0"/>
        <w:widowControl w:val="0"/>
        <w:kinsoku/>
        <w:wordWrap/>
        <w:overflowPunct/>
        <w:topLinePunct w:val="0"/>
        <w:autoSpaceDE/>
        <w:autoSpaceDN/>
        <w:bidi w:val="0"/>
        <w:adjustRightInd/>
        <w:snapToGrid w:val="0"/>
        <w:spacing w:line="480" w:lineRule="exact"/>
        <w:ind w:firstLine="1560" w:firstLineChars="650"/>
        <w:jc w:val="left"/>
        <w:textAlignment w:val="auto"/>
        <w:outlineLvl w:val="0"/>
        <w:rPr>
          <w:rFonts w:hint="eastAsia" w:ascii="宋体" w:hAnsi="宋体" w:eastAsia="宋体" w:cs="宋体"/>
          <w:snapToGrid/>
          <w:kern w:val="2"/>
          <w:sz w:val="24"/>
          <w:szCs w:val="24"/>
          <w:lang w:eastAsia="zh-CN"/>
        </w:rPr>
      </w:pPr>
      <w:bookmarkStart w:id="164" w:name="_Toc344"/>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.3.5.1  凸阵探头，全视野，18cm深，二维帧频≥40帧/秒</w:t>
      </w:r>
      <w:r>
        <w:rPr>
          <w:rFonts w:hint="eastAsia" w:ascii="宋体" w:hAnsi="宋体" w:eastAsia="宋体" w:cs="宋体"/>
          <w:kern w:val="2"/>
          <w:sz w:val="24"/>
          <w:szCs w:val="24"/>
          <w:lang w:val="en-US" w:eastAsia="zh-CN" w:bidi="ar-SA"/>
        </w:rPr>
        <w:t>；</w:t>
      </w:r>
      <w:bookmarkEnd w:id="164"/>
    </w:p>
    <w:p w14:paraId="5B80DDEE">
      <w:pPr>
        <w:keepNext w:val="0"/>
        <w:keepLines w:val="0"/>
        <w:pageBreakBefore w:val="0"/>
        <w:widowControl w:val="0"/>
        <w:kinsoku/>
        <w:wordWrap/>
        <w:overflowPunct/>
        <w:topLinePunct w:val="0"/>
        <w:autoSpaceDE/>
        <w:autoSpaceDN/>
        <w:bidi w:val="0"/>
        <w:adjustRightInd/>
        <w:snapToGrid w:val="0"/>
        <w:spacing w:line="480" w:lineRule="exact"/>
        <w:ind w:firstLine="1560" w:firstLineChars="650"/>
        <w:jc w:val="left"/>
        <w:textAlignment w:val="auto"/>
        <w:outlineLvl w:val="0"/>
        <w:rPr>
          <w:rFonts w:hint="eastAsia" w:ascii="宋体" w:hAnsi="宋体" w:eastAsia="宋体" w:cs="宋体"/>
          <w:snapToGrid/>
          <w:kern w:val="2"/>
          <w:sz w:val="24"/>
          <w:szCs w:val="24"/>
          <w:lang w:eastAsia="zh-CN"/>
        </w:rPr>
      </w:pPr>
      <w:bookmarkStart w:id="165" w:name="_Toc16522"/>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 xml:space="preserve">.3.5.2  相控阵探头，全视野，18cm深，二维帧频≥60帧/秒 </w:t>
      </w:r>
      <w:r>
        <w:rPr>
          <w:rFonts w:hint="eastAsia" w:ascii="宋体" w:hAnsi="宋体" w:eastAsia="宋体" w:cs="宋体"/>
          <w:kern w:val="2"/>
          <w:sz w:val="24"/>
          <w:szCs w:val="24"/>
          <w:lang w:val="en-US" w:eastAsia="zh-CN" w:bidi="ar-SA"/>
        </w:rPr>
        <w:t>。</w:t>
      </w:r>
      <w:bookmarkEnd w:id="165"/>
    </w:p>
    <w:p w14:paraId="60EAAA5C">
      <w:pPr>
        <w:keepNext w:val="0"/>
        <w:keepLines w:val="0"/>
        <w:pageBreakBefore w:val="0"/>
        <w:widowControl w:val="0"/>
        <w:kinsoku/>
        <w:wordWrap/>
        <w:overflowPunct/>
        <w:topLinePunct w:val="0"/>
        <w:autoSpaceDE/>
        <w:autoSpaceDN/>
        <w:bidi w:val="0"/>
        <w:adjustRightInd/>
        <w:snapToGrid w:val="0"/>
        <w:spacing w:line="480" w:lineRule="exact"/>
        <w:ind w:firstLine="240" w:firstLineChars="100"/>
        <w:jc w:val="left"/>
        <w:textAlignment w:val="auto"/>
        <w:outlineLvl w:val="0"/>
        <w:rPr>
          <w:rFonts w:hint="eastAsia" w:ascii="宋体" w:hAnsi="宋体" w:eastAsia="宋体" w:cs="宋体"/>
          <w:snapToGrid/>
          <w:kern w:val="2"/>
          <w:sz w:val="24"/>
          <w:szCs w:val="24"/>
          <w:lang w:eastAsia="zh-CN"/>
        </w:rPr>
      </w:pPr>
      <w:bookmarkStart w:id="166" w:name="_Toc29702"/>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.4  频谱多普勒：</w:t>
      </w:r>
      <w:bookmarkEnd w:id="166"/>
    </w:p>
    <w:p w14:paraId="0A1C242A">
      <w:pPr>
        <w:keepNext w:val="0"/>
        <w:keepLines w:val="0"/>
        <w:pageBreakBefore w:val="0"/>
        <w:widowControl w:val="0"/>
        <w:tabs>
          <w:tab w:val="left" w:pos="709"/>
          <w:tab w:val="left" w:pos="1560"/>
        </w:tabs>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67" w:name="_Toc8013"/>
      <w:r>
        <w:rPr>
          <w:rFonts w:hint="eastAsia" w:ascii="宋体" w:hAnsi="宋体" w:eastAsia="宋体" w:cs="宋体"/>
          <w:kern w:val="2"/>
          <w:sz w:val="24"/>
          <w:szCs w:val="24"/>
          <w:lang w:val="en-US" w:eastAsia="zh-CN" w:bidi="ar-SA"/>
        </w:rPr>
        <w:t>3.4.1   显示模式：脉冲波多普勒；高频冲重复频率多普勒；</w:t>
      </w:r>
      <w:bookmarkEnd w:id="167"/>
    </w:p>
    <w:p w14:paraId="29400CB3">
      <w:pPr>
        <w:keepNext w:val="0"/>
        <w:keepLines w:val="0"/>
        <w:pageBreakBefore w:val="0"/>
        <w:widowControl w:val="0"/>
        <w:tabs>
          <w:tab w:val="left" w:pos="709"/>
          <w:tab w:val="left" w:pos="1560"/>
        </w:tabs>
        <w:kinsoku/>
        <w:wordWrap/>
        <w:overflowPunct/>
        <w:topLinePunct w:val="0"/>
        <w:autoSpaceDE/>
        <w:autoSpaceDN/>
        <w:bidi w:val="0"/>
        <w:adjustRightInd/>
        <w:snapToGrid w:val="0"/>
        <w:spacing w:line="480" w:lineRule="exact"/>
        <w:ind w:left="420" w:leftChars="200" w:firstLine="2400" w:firstLineChars="1000"/>
        <w:jc w:val="left"/>
        <w:outlineLvl w:val="0"/>
        <w:rPr>
          <w:rFonts w:hint="eastAsia" w:ascii="宋体" w:hAnsi="宋体" w:eastAsia="宋体" w:cs="宋体"/>
          <w:kern w:val="2"/>
          <w:sz w:val="24"/>
          <w:szCs w:val="24"/>
          <w:lang w:val="en-US" w:eastAsia="zh-CN" w:bidi="ar-SA"/>
        </w:rPr>
      </w:pPr>
      <w:bookmarkStart w:id="168" w:name="_Toc16758"/>
      <w:r>
        <w:rPr>
          <w:rFonts w:hint="eastAsia" w:ascii="宋体" w:hAnsi="宋体" w:eastAsia="宋体" w:cs="宋体"/>
          <w:kern w:val="2"/>
          <w:sz w:val="24"/>
          <w:szCs w:val="24"/>
          <w:lang w:val="en-US" w:eastAsia="zh-CN" w:bidi="ar-SA"/>
        </w:rPr>
        <w:t>连续波多普勒；多门多普勒；</w:t>
      </w:r>
      <w:bookmarkEnd w:id="168"/>
    </w:p>
    <w:p w14:paraId="6F8F48F0">
      <w:pPr>
        <w:keepNext w:val="0"/>
        <w:keepLines w:val="0"/>
        <w:pageBreakBefore w:val="0"/>
        <w:widowControl w:val="0"/>
        <w:tabs>
          <w:tab w:val="left" w:pos="709"/>
          <w:tab w:val="left" w:pos="1560"/>
        </w:tabs>
        <w:kinsoku/>
        <w:wordWrap/>
        <w:overflowPunct/>
        <w:topLinePunct w:val="0"/>
        <w:autoSpaceDE/>
        <w:autoSpaceDN/>
        <w:bidi w:val="0"/>
        <w:adjustRightInd/>
        <w:snapToGrid w:val="0"/>
        <w:spacing w:line="480" w:lineRule="exact"/>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69" w:name="_Toc20339"/>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.4.2   多普勒频率可视可调</w:t>
      </w:r>
      <w:r>
        <w:rPr>
          <w:rFonts w:hint="eastAsia" w:ascii="宋体" w:hAnsi="宋体" w:eastAsia="宋体" w:cs="宋体"/>
          <w:kern w:val="2"/>
          <w:sz w:val="24"/>
          <w:szCs w:val="24"/>
          <w:lang w:val="en-US" w:eastAsia="zh-CN" w:bidi="ar-SA"/>
        </w:rPr>
        <w:t>；</w:t>
      </w:r>
      <w:bookmarkEnd w:id="169"/>
    </w:p>
    <w:p w14:paraId="00C99E6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0" w:name="_Toc26308"/>
      <w:r>
        <w:rPr>
          <w:rFonts w:hint="eastAsia" w:ascii="宋体" w:hAnsi="宋体" w:eastAsia="宋体" w:cs="宋体"/>
          <w:kern w:val="2"/>
          <w:sz w:val="24"/>
          <w:szCs w:val="24"/>
          <w:lang w:val="en-US" w:eastAsia="zh-CN" w:bidi="ar-SA"/>
        </w:rPr>
        <w:t>3.4.3   多普勒基准频率：</w:t>
      </w:r>
      <w:bookmarkEnd w:id="170"/>
      <w:r>
        <w:rPr>
          <w:rFonts w:hint="eastAsia" w:ascii="宋体" w:hAnsi="宋体" w:eastAsia="宋体" w:cs="宋体"/>
          <w:kern w:val="2"/>
          <w:sz w:val="24"/>
          <w:szCs w:val="24"/>
          <w:lang w:val="en-US" w:eastAsia="zh-CN" w:bidi="ar-SA"/>
        </w:rPr>
        <w:t xml:space="preserve">  </w:t>
      </w:r>
    </w:p>
    <w:p w14:paraId="32B38DCF">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1" w:name="_Toc16615"/>
      <w:r>
        <w:rPr>
          <w:rFonts w:hint="eastAsia" w:ascii="宋体" w:hAnsi="宋体" w:eastAsia="宋体" w:cs="宋体"/>
          <w:kern w:val="2"/>
          <w:sz w:val="24"/>
          <w:szCs w:val="24"/>
          <w:lang w:val="en-US" w:eastAsia="zh-CN" w:bidi="ar-SA"/>
        </w:rPr>
        <w:t>凸阵：PWD：2.14 ~ 3.16MHz ；</w:t>
      </w:r>
      <w:bookmarkEnd w:id="171"/>
      <w:r>
        <w:rPr>
          <w:rFonts w:hint="eastAsia" w:ascii="宋体" w:hAnsi="宋体" w:eastAsia="宋体" w:cs="宋体"/>
          <w:kern w:val="2"/>
          <w:sz w:val="24"/>
          <w:szCs w:val="24"/>
          <w:lang w:val="en-US" w:eastAsia="zh-CN" w:bidi="ar-SA"/>
        </w:rPr>
        <w:t xml:space="preserve">                    </w:t>
      </w:r>
    </w:p>
    <w:p w14:paraId="70C1B10A">
      <w:pPr>
        <w:keepNext w:val="0"/>
        <w:keepLines w:val="0"/>
        <w:pageBreakBefore w:val="0"/>
        <w:widowControl w:val="0"/>
        <w:kinsoku/>
        <w:wordWrap/>
        <w:overflowPunct/>
        <w:topLinePunct w:val="0"/>
        <w:autoSpaceDE/>
        <w:autoSpaceDN/>
        <w:bidi w:val="0"/>
        <w:adjustRightInd/>
        <w:snapToGrid w:val="0"/>
        <w:spacing w:line="480" w:lineRule="exact"/>
        <w:ind w:left="5565" w:hanging="6360" w:hangingChars="265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2" w:name="_Toc26218"/>
      <w:r>
        <w:rPr>
          <w:rFonts w:hint="eastAsia" w:ascii="宋体" w:hAnsi="宋体" w:eastAsia="宋体" w:cs="宋体"/>
          <w:kern w:val="2"/>
          <w:sz w:val="24"/>
          <w:szCs w:val="24"/>
          <w:lang w:val="en-US" w:eastAsia="zh-CN" w:bidi="ar-SA"/>
        </w:rPr>
        <w:t>线阵：PWD：4.00 ~ 6.00MHz ；</w:t>
      </w:r>
      <w:bookmarkEnd w:id="172"/>
      <w:r>
        <w:rPr>
          <w:rFonts w:hint="eastAsia" w:ascii="宋体" w:hAnsi="宋体" w:eastAsia="宋体" w:cs="宋体"/>
          <w:kern w:val="2"/>
          <w:sz w:val="24"/>
          <w:szCs w:val="24"/>
          <w:lang w:val="en-US" w:eastAsia="zh-CN" w:bidi="ar-SA"/>
        </w:rPr>
        <w:t xml:space="preserve">                    </w:t>
      </w:r>
    </w:p>
    <w:p w14:paraId="2DA1855A">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highlight w:val="yellow"/>
          <w:lang w:val="en-US" w:eastAsia="zh-CN" w:bidi="ar-SA"/>
        </w:rPr>
      </w:pPr>
      <w:r>
        <w:rPr>
          <w:rFonts w:hint="eastAsia" w:ascii="宋体" w:hAnsi="宋体" w:eastAsia="宋体" w:cs="宋体"/>
          <w:kern w:val="2"/>
          <w:sz w:val="24"/>
          <w:szCs w:val="24"/>
          <w:lang w:val="en-US" w:eastAsia="zh-CN" w:bidi="ar-SA"/>
        </w:rPr>
        <w:t xml:space="preserve">               </w:t>
      </w:r>
      <w:bookmarkStart w:id="173" w:name="_Toc23954"/>
      <w:r>
        <w:rPr>
          <w:rFonts w:hint="eastAsia" w:ascii="宋体" w:hAnsi="宋体" w:eastAsia="宋体" w:cs="宋体"/>
          <w:kern w:val="2"/>
          <w:sz w:val="24"/>
          <w:szCs w:val="24"/>
          <w:lang w:val="en-US" w:eastAsia="zh-CN" w:bidi="ar-SA"/>
        </w:rPr>
        <w:t>相控阵：PWD：1.88 ~ 3.00MHz；CWD：1.76MHz  ；</w:t>
      </w:r>
      <w:bookmarkEnd w:id="173"/>
    </w:p>
    <w:p w14:paraId="60C248E5">
      <w:pPr>
        <w:keepNext w:val="0"/>
        <w:keepLines w:val="0"/>
        <w:pageBreakBefore w:val="0"/>
        <w:widowControl w:val="0"/>
        <w:tabs>
          <w:tab w:val="left" w:pos="1560"/>
        </w:tabs>
        <w:kinsoku/>
        <w:wordWrap/>
        <w:overflowPunct/>
        <w:topLinePunct w:val="0"/>
        <w:autoSpaceDE/>
        <w:autoSpaceDN/>
        <w:bidi w:val="0"/>
        <w:adjustRightInd/>
        <w:snapToGrid w:val="0"/>
        <w:spacing w:line="480" w:lineRule="exact"/>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74" w:name="_Toc30387"/>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.4.4   最大测量速度：</w:t>
      </w:r>
      <w:bookmarkEnd w:id="174"/>
    </w:p>
    <w:p w14:paraId="2041738A">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5" w:name="_Toc20079"/>
      <w:r>
        <w:rPr>
          <w:rFonts w:hint="eastAsia" w:ascii="宋体" w:hAnsi="宋体" w:eastAsia="宋体" w:cs="宋体"/>
          <w:kern w:val="2"/>
          <w:sz w:val="24"/>
          <w:szCs w:val="24"/>
          <w:lang w:val="en-US" w:eastAsia="zh-CN" w:bidi="ar-SA"/>
        </w:rPr>
        <w:t>3.4.4.1  PWD 正向或反向血流速度≥8m/s；</w:t>
      </w:r>
      <w:bookmarkEnd w:id="175"/>
    </w:p>
    <w:p w14:paraId="115054D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6" w:name="_Toc16656"/>
      <w:r>
        <w:rPr>
          <w:rFonts w:hint="eastAsia" w:ascii="宋体" w:hAnsi="宋体" w:eastAsia="宋体" w:cs="宋体"/>
          <w:kern w:val="2"/>
          <w:sz w:val="24"/>
          <w:szCs w:val="24"/>
          <w:lang w:val="en-US" w:eastAsia="zh-CN" w:bidi="ar-SA"/>
        </w:rPr>
        <w:t>3.4.4.2  CWD 正向或反向血流速度≥16m/s；</w:t>
      </w:r>
      <w:bookmarkEnd w:id="176"/>
    </w:p>
    <w:p w14:paraId="3FBC7070">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7" w:name="_Toc4644"/>
      <w:r>
        <w:rPr>
          <w:rFonts w:hint="eastAsia" w:ascii="宋体" w:hAnsi="宋体" w:eastAsia="宋体" w:cs="宋体"/>
          <w:kern w:val="2"/>
          <w:sz w:val="24"/>
          <w:szCs w:val="24"/>
          <w:lang w:val="en-US" w:eastAsia="zh-CN" w:bidi="ar-SA"/>
        </w:rPr>
        <w:t>3.4.5   最低测量速度：≤0.1cm/s（非噪声信号）；</w:t>
      </w:r>
      <w:bookmarkEnd w:id="177"/>
    </w:p>
    <w:p w14:paraId="1A29EDD3">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8" w:name="_Toc8369"/>
      <w:r>
        <w:rPr>
          <w:rFonts w:hint="eastAsia" w:ascii="宋体" w:hAnsi="宋体" w:eastAsia="宋体" w:cs="宋体"/>
          <w:kern w:val="2"/>
          <w:sz w:val="24"/>
          <w:szCs w:val="24"/>
          <w:lang w:val="en-US" w:eastAsia="zh-CN" w:bidi="ar-SA"/>
        </w:rPr>
        <w:t>3.4.6   取样容积大小及位置范围：宽度0.5mm至20mm逐段可调；</w:t>
      </w:r>
      <w:bookmarkEnd w:id="178"/>
    </w:p>
    <w:p w14:paraId="013E85AC">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bookmarkStart w:id="179" w:name="_Toc14748"/>
      <w:r>
        <w:rPr>
          <w:rFonts w:hint="eastAsia" w:ascii="宋体" w:hAnsi="宋体" w:eastAsia="宋体" w:cs="宋体"/>
          <w:kern w:val="2"/>
          <w:sz w:val="24"/>
          <w:szCs w:val="24"/>
          <w:lang w:val="en-US" w:eastAsia="zh-CN" w:bidi="ar-SA"/>
        </w:rPr>
        <w:t>3.4.7   多普勒基线位置可实时调节或冻结后再调节；</w:t>
      </w:r>
      <w:bookmarkEnd w:id="179"/>
    </w:p>
    <w:p w14:paraId="01435E23">
      <w:pPr>
        <w:keepNext w:val="0"/>
        <w:keepLines w:val="0"/>
        <w:pageBreakBefore w:val="0"/>
        <w:widowControl w:val="0"/>
        <w:kinsoku/>
        <w:wordWrap/>
        <w:overflowPunct/>
        <w:topLinePunct w:val="0"/>
        <w:autoSpaceDE/>
        <w:autoSpaceDN/>
        <w:bidi w:val="0"/>
        <w:adjustRightInd/>
        <w:snapToGrid w:val="0"/>
        <w:spacing w:line="480" w:lineRule="exact"/>
        <w:ind w:firstLine="240" w:firstLineChars="100"/>
        <w:jc w:val="left"/>
        <w:textAlignment w:val="auto"/>
        <w:outlineLvl w:val="0"/>
        <w:rPr>
          <w:rFonts w:hint="eastAsia" w:ascii="宋体" w:hAnsi="宋体" w:eastAsia="宋体" w:cs="宋体"/>
          <w:snapToGrid/>
          <w:kern w:val="2"/>
          <w:sz w:val="24"/>
          <w:szCs w:val="24"/>
          <w:lang w:eastAsia="zh-CN"/>
        </w:rPr>
      </w:pPr>
      <w:bookmarkStart w:id="180" w:name="_Toc853"/>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  彩色多普勒</w:t>
      </w:r>
      <w:bookmarkEnd w:id="180"/>
    </w:p>
    <w:p w14:paraId="64C2DD30">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81" w:name="_Toc562"/>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.5.1  显示方式：速度显示、方差显示、速度+方差显示</w:t>
      </w:r>
      <w:r>
        <w:rPr>
          <w:rFonts w:hint="eastAsia" w:ascii="宋体" w:hAnsi="宋体" w:eastAsia="宋体" w:cs="宋体"/>
          <w:kern w:val="2"/>
          <w:sz w:val="24"/>
          <w:szCs w:val="24"/>
          <w:lang w:val="en-US" w:eastAsia="zh-CN" w:bidi="ar-SA"/>
        </w:rPr>
        <w:t>；</w:t>
      </w:r>
      <w:bookmarkEnd w:id="181"/>
    </w:p>
    <w:p w14:paraId="1F7B4887">
      <w:pPr>
        <w:keepNext w:val="0"/>
        <w:keepLines w:val="0"/>
        <w:pageBreakBefore w:val="0"/>
        <w:widowControl w:val="0"/>
        <w:kinsoku/>
        <w:wordWrap/>
        <w:overflowPunct/>
        <w:topLinePunct w:val="0"/>
        <w:autoSpaceDE/>
        <w:autoSpaceDN/>
        <w:bidi w:val="0"/>
        <w:adjustRightInd/>
        <w:snapToGrid w:val="0"/>
        <w:spacing w:line="480" w:lineRule="exact"/>
        <w:ind w:left="42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82" w:name="_Toc25902"/>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.5.2  彩色增强功能：组织多普勒成像、能量图、方向性能量图</w:t>
      </w:r>
      <w:r>
        <w:rPr>
          <w:rFonts w:hint="eastAsia" w:ascii="宋体" w:hAnsi="宋体" w:eastAsia="宋体" w:cs="宋体"/>
          <w:kern w:val="2"/>
          <w:sz w:val="24"/>
          <w:szCs w:val="24"/>
          <w:lang w:val="en-US" w:eastAsia="zh-CN" w:bidi="ar-SA"/>
        </w:rPr>
        <w:t>；</w:t>
      </w:r>
      <w:bookmarkEnd w:id="182"/>
    </w:p>
    <w:p w14:paraId="49CC83E6">
      <w:pPr>
        <w:keepNext w:val="0"/>
        <w:keepLines w:val="0"/>
        <w:pageBreakBefore w:val="0"/>
        <w:widowControl w:val="0"/>
        <w:kinsoku/>
        <w:wordWrap/>
        <w:overflowPunct/>
        <w:topLinePunct w:val="0"/>
        <w:autoSpaceDE/>
        <w:autoSpaceDN/>
        <w:bidi w:val="0"/>
        <w:adjustRightInd/>
        <w:snapToGrid w:val="0"/>
        <w:spacing w:line="480" w:lineRule="exact"/>
        <w:ind w:left="420" w:leftChars="200" w:firstLine="360" w:firstLineChars="150"/>
        <w:jc w:val="left"/>
        <w:textAlignment w:val="auto"/>
        <w:outlineLvl w:val="0"/>
        <w:rPr>
          <w:rFonts w:hint="eastAsia" w:ascii="宋体" w:hAnsi="宋体" w:eastAsia="宋体" w:cs="宋体"/>
          <w:snapToGrid/>
          <w:kern w:val="2"/>
          <w:sz w:val="24"/>
          <w:szCs w:val="24"/>
          <w:lang w:eastAsia="zh-CN"/>
        </w:rPr>
      </w:pPr>
      <w:bookmarkStart w:id="183" w:name="_Toc621"/>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.5.3  高分辨率血流</w:t>
      </w:r>
      <w:r>
        <w:rPr>
          <w:rFonts w:hint="eastAsia" w:ascii="宋体" w:hAnsi="宋体" w:eastAsia="宋体" w:cs="宋体"/>
          <w:kern w:val="2"/>
          <w:sz w:val="24"/>
          <w:szCs w:val="24"/>
          <w:lang w:val="en-US" w:eastAsia="zh-CN" w:bidi="ar-SA"/>
        </w:rPr>
        <w:t>；</w:t>
      </w:r>
      <w:bookmarkEnd w:id="183"/>
    </w:p>
    <w:p w14:paraId="6D0C4567">
      <w:pPr>
        <w:keepNext w:val="0"/>
        <w:keepLines w:val="0"/>
        <w:pageBreakBefore w:val="0"/>
        <w:widowControl w:val="0"/>
        <w:kinsoku/>
        <w:wordWrap/>
        <w:overflowPunct/>
        <w:topLinePunct w:val="0"/>
        <w:autoSpaceDE/>
        <w:autoSpaceDN/>
        <w:bidi w:val="0"/>
        <w:adjustRightInd/>
        <w:snapToGrid w:val="0"/>
        <w:spacing w:line="480" w:lineRule="exact"/>
        <w:ind w:firstLine="720" w:firstLineChars="300"/>
        <w:jc w:val="left"/>
        <w:textAlignment w:val="auto"/>
        <w:outlineLvl w:val="0"/>
        <w:rPr>
          <w:rFonts w:hint="eastAsia" w:ascii="宋体" w:hAnsi="宋体" w:eastAsia="宋体" w:cs="宋体"/>
          <w:snapToGrid/>
          <w:kern w:val="2"/>
          <w:sz w:val="24"/>
          <w:szCs w:val="24"/>
          <w:lang w:eastAsia="zh-CN"/>
        </w:rPr>
      </w:pPr>
      <w:bookmarkStart w:id="184" w:name="_Toc26953"/>
      <w:r>
        <w:rPr>
          <w:rFonts w:hint="eastAsia" w:ascii="宋体" w:hAnsi="宋体" w:eastAsia="宋体" w:cs="宋体"/>
          <w:snapToGrid/>
          <w:kern w:val="2"/>
          <w:sz w:val="24"/>
          <w:szCs w:val="24"/>
          <w:lang w:eastAsia="zh-CN"/>
        </w:rPr>
        <w:t>▲</w:t>
      </w:r>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.5.4 显示位置调整：线阵扫描感兴趣区范围-30° ~ +30°</w:t>
      </w:r>
      <w:r>
        <w:rPr>
          <w:rFonts w:hint="eastAsia" w:ascii="宋体" w:hAnsi="宋体" w:eastAsia="宋体" w:cs="宋体"/>
          <w:kern w:val="2"/>
          <w:sz w:val="24"/>
          <w:szCs w:val="24"/>
          <w:lang w:val="en-US" w:eastAsia="zh-CN" w:bidi="ar-SA"/>
        </w:rPr>
        <w:t>；</w:t>
      </w:r>
      <w:bookmarkEnd w:id="184"/>
    </w:p>
    <w:p w14:paraId="4986D839">
      <w:pPr>
        <w:keepNext w:val="0"/>
        <w:keepLines w:val="0"/>
        <w:pageBreakBefore w:val="0"/>
        <w:widowControl w:val="0"/>
        <w:kinsoku/>
        <w:wordWrap/>
        <w:overflowPunct/>
        <w:topLinePunct w:val="0"/>
        <w:autoSpaceDE/>
        <w:autoSpaceDN/>
        <w:bidi w:val="0"/>
        <w:adjustRightInd/>
        <w:snapToGrid w:val="0"/>
        <w:spacing w:line="480" w:lineRule="exact"/>
        <w:ind w:firstLine="840" w:firstLineChars="350"/>
        <w:jc w:val="left"/>
        <w:textAlignment w:val="auto"/>
        <w:outlineLvl w:val="0"/>
        <w:rPr>
          <w:rFonts w:hint="eastAsia" w:ascii="宋体" w:hAnsi="宋体" w:eastAsia="宋体" w:cs="宋体"/>
          <w:snapToGrid/>
          <w:kern w:val="2"/>
          <w:sz w:val="24"/>
          <w:szCs w:val="24"/>
          <w:lang w:eastAsia="zh-CN"/>
        </w:rPr>
      </w:pPr>
      <w:bookmarkStart w:id="185" w:name="_Toc1371"/>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.5.5  成像速率</w:t>
      </w:r>
      <w:bookmarkEnd w:id="185"/>
    </w:p>
    <w:p w14:paraId="0F152DFB">
      <w:pPr>
        <w:keepNext w:val="0"/>
        <w:keepLines w:val="0"/>
        <w:pageBreakBefore w:val="0"/>
        <w:widowControl w:val="0"/>
        <w:kinsoku/>
        <w:wordWrap/>
        <w:overflowPunct/>
        <w:topLinePunct w:val="0"/>
        <w:autoSpaceDE/>
        <w:autoSpaceDN/>
        <w:bidi w:val="0"/>
        <w:adjustRightInd/>
        <w:snapToGrid w:val="0"/>
        <w:spacing w:line="480" w:lineRule="exact"/>
        <w:ind w:left="1509" w:leftChars="49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86" w:name="_Toc23008"/>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.5.5.1  凸阵探头，全视野，18cm深度时，彩色帧频≥14帧/秒</w:t>
      </w:r>
      <w:r>
        <w:rPr>
          <w:rFonts w:hint="eastAsia" w:ascii="宋体" w:hAnsi="宋体" w:eastAsia="宋体" w:cs="宋体"/>
          <w:kern w:val="2"/>
          <w:sz w:val="24"/>
          <w:szCs w:val="24"/>
          <w:lang w:val="en-US" w:eastAsia="zh-CN" w:bidi="ar-SA"/>
        </w:rPr>
        <w:t>；</w:t>
      </w:r>
      <w:bookmarkEnd w:id="186"/>
    </w:p>
    <w:p w14:paraId="36566CF9">
      <w:pPr>
        <w:keepNext w:val="0"/>
        <w:keepLines w:val="0"/>
        <w:pageBreakBefore w:val="0"/>
        <w:widowControl w:val="0"/>
        <w:kinsoku/>
        <w:wordWrap/>
        <w:overflowPunct/>
        <w:topLinePunct w:val="0"/>
        <w:autoSpaceDE/>
        <w:autoSpaceDN/>
        <w:bidi w:val="0"/>
        <w:adjustRightInd/>
        <w:snapToGrid w:val="0"/>
        <w:spacing w:line="480" w:lineRule="exact"/>
        <w:ind w:left="1509" w:leftChars="490" w:hanging="480" w:hangingChars="200"/>
        <w:jc w:val="left"/>
        <w:textAlignment w:val="auto"/>
        <w:outlineLvl w:val="0"/>
        <w:rPr>
          <w:rFonts w:hint="eastAsia" w:ascii="宋体" w:hAnsi="宋体" w:eastAsia="宋体" w:cs="宋体"/>
          <w:snapToGrid/>
          <w:kern w:val="2"/>
          <w:sz w:val="24"/>
          <w:szCs w:val="24"/>
          <w:lang w:eastAsia="zh-CN"/>
        </w:rPr>
      </w:pPr>
      <w:r>
        <w:rPr>
          <w:rFonts w:hint="eastAsia" w:ascii="宋体" w:hAnsi="宋体" w:eastAsia="宋体" w:cs="宋体"/>
          <w:snapToGrid/>
          <w:kern w:val="2"/>
          <w:sz w:val="24"/>
          <w:szCs w:val="24"/>
          <w:lang w:eastAsia="zh-CN"/>
        </w:rPr>
        <w:t xml:space="preserve">    </w:t>
      </w:r>
      <w:bookmarkStart w:id="187" w:name="_Toc21008"/>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.5.5.2  相控阵探头，全视野，18cm深度时，彩色帧频≥30帧/秒</w:t>
      </w:r>
      <w:r>
        <w:rPr>
          <w:rFonts w:hint="eastAsia" w:ascii="宋体" w:hAnsi="宋体" w:eastAsia="宋体" w:cs="宋体"/>
          <w:kern w:val="2"/>
          <w:sz w:val="24"/>
          <w:szCs w:val="24"/>
          <w:lang w:val="en-US" w:eastAsia="zh-CN" w:bidi="ar-SA"/>
        </w:rPr>
        <w:t>。</w:t>
      </w:r>
      <w:bookmarkEnd w:id="187"/>
    </w:p>
    <w:p w14:paraId="775D827C">
      <w:pPr>
        <w:keepNext w:val="0"/>
        <w:keepLines w:val="0"/>
        <w:pageBreakBefore w:val="0"/>
        <w:widowControl w:val="0"/>
        <w:kinsoku/>
        <w:wordWrap/>
        <w:overflowPunct/>
        <w:topLinePunct w:val="0"/>
        <w:autoSpaceDE/>
        <w:autoSpaceDN/>
        <w:bidi w:val="0"/>
        <w:adjustRightInd/>
        <w:snapToGrid w:val="0"/>
        <w:spacing w:line="480" w:lineRule="exact"/>
        <w:ind w:firstLine="240" w:firstLineChars="100"/>
        <w:jc w:val="left"/>
        <w:textAlignment w:val="auto"/>
        <w:outlineLvl w:val="0"/>
        <w:rPr>
          <w:rFonts w:hint="eastAsia" w:ascii="宋体" w:hAnsi="宋体" w:eastAsia="宋体" w:cs="宋体"/>
          <w:snapToGrid/>
          <w:kern w:val="2"/>
          <w:sz w:val="24"/>
          <w:szCs w:val="24"/>
          <w:lang w:eastAsia="zh-CN"/>
        </w:rPr>
      </w:pPr>
      <w:bookmarkStart w:id="188" w:name="_Toc30838"/>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.6  数字化图像管理与记录装置</w:t>
      </w:r>
      <w:r>
        <w:rPr>
          <w:rFonts w:hint="eastAsia" w:ascii="宋体" w:hAnsi="宋体" w:eastAsia="宋体" w:cs="宋体"/>
          <w:kern w:val="2"/>
          <w:sz w:val="24"/>
          <w:szCs w:val="24"/>
          <w:lang w:val="en-US" w:eastAsia="zh-CN" w:bidi="ar-SA"/>
        </w:rPr>
        <w:t>；</w:t>
      </w:r>
      <w:bookmarkEnd w:id="188"/>
    </w:p>
    <w:p w14:paraId="7C0D5226">
      <w:pPr>
        <w:keepNext w:val="0"/>
        <w:keepLines w:val="0"/>
        <w:pageBreakBefore w:val="0"/>
        <w:widowControl w:val="0"/>
        <w:kinsoku/>
        <w:wordWrap/>
        <w:overflowPunct/>
        <w:topLinePunct w:val="0"/>
        <w:autoSpaceDE/>
        <w:autoSpaceDN/>
        <w:bidi w:val="0"/>
        <w:adjustRightInd/>
        <w:snapToGrid w:val="0"/>
        <w:spacing w:line="480" w:lineRule="exact"/>
        <w:ind w:firstLine="240" w:firstLineChars="100"/>
        <w:jc w:val="left"/>
        <w:textAlignment w:val="auto"/>
        <w:outlineLvl w:val="0"/>
        <w:rPr>
          <w:rFonts w:hint="eastAsia" w:ascii="宋体" w:hAnsi="宋体" w:eastAsia="宋体" w:cs="宋体"/>
          <w:snapToGrid/>
          <w:kern w:val="2"/>
          <w:sz w:val="24"/>
          <w:szCs w:val="24"/>
          <w:lang w:eastAsia="zh-CN"/>
        </w:rPr>
      </w:pPr>
      <w:bookmarkStart w:id="189" w:name="_Toc18388"/>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.7  说明书显示：可通过PDF查看器在主机显示器上显示</w:t>
      </w:r>
      <w:r>
        <w:rPr>
          <w:rFonts w:hint="eastAsia" w:ascii="宋体" w:hAnsi="宋体" w:eastAsia="宋体" w:cs="宋体"/>
          <w:kern w:val="2"/>
          <w:sz w:val="24"/>
          <w:szCs w:val="24"/>
          <w:lang w:val="en-US" w:eastAsia="zh-CN" w:bidi="ar-SA"/>
        </w:rPr>
        <w:t>；</w:t>
      </w:r>
      <w:bookmarkEnd w:id="189"/>
    </w:p>
    <w:p w14:paraId="3751E524">
      <w:pPr>
        <w:keepNext w:val="0"/>
        <w:keepLines w:val="0"/>
        <w:pageBreakBefore w:val="0"/>
        <w:widowControl w:val="0"/>
        <w:kinsoku/>
        <w:wordWrap/>
        <w:overflowPunct/>
        <w:topLinePunct w:val="0"/>
        <w:autoSpaceDE/>
        <w:autoSpaceDN/>
        <w:bidi w:val="0"/>
        <w:adjustRightInd/>
        <w:snapToGrid w:val="0"/>
        <w:spacing w:line="480" w:lineRule="exact"/>
        <w:ind w:left="810" w:leftChars="100" w:hanging="600" w:hangingChars="250"/>
        <w:jc w:val="left"/>
        <w:textAlignment w:val="auto"/>
        <w:outlineLvl w:val="0"/>
        <w:rPr>
          <w:rFonts w:hint="eastAsia" w:ascii="宋体" w:hAnsi="宋体" w:eastAsia="宋体" w:cs="宋体"/>
          <w:snapToGrid/>
          <w:kern w:val="2"/>
          <w:sz w:val="24"/>
          <w:szCs w:val="24"/>
          <w:lang w:eastAsia="zh-CN"/>
        </w:rPr>
      </w:pPr>
      <w:bookmarkStart w:id="190" w:name="_Toc952"/>
      <w:r>
        <w:rPr>
          <w:rFonts w:hint="eastAsia" w:ascii="宋体" w:hAnsi="宋体" w:eastAsia="宋体" w:cs="宋体"/>
          <w:snapToGrid/>
          <w:kern w:val="2"/>
          <w:sz w:val="24"/>
          <w:szCs w:val="24"/>
          <w:lang w:val="en-US" w:eastAsia="zh-CN"/>
        </w:rPr>
        <w:t>3</w:t>
      </w:r>
      <w:r>
        <w:rPr>
          <w:rFonts w:hint="eastAsia" w:ascii="宋体" w:hAnsi="宋体" w:eastAsia="宋体" w:cs="宋体"/>
          <w:snapToGrid/>
          <w:kern w:val="2"/>
          <w:sz w:val="24"/>
          <w:szCs w:val="24"/>
          <w:lang w:eastAsia="zh-CN"/>
        </w:rPr>
        <w:t>.8  动态图像及静态图像以AVI、BMP、JPEG等PC通用格式直接储存。</w:t>
      </w:r>
      <w:bookmarkEnd w:id="190"/>
    </w:p>
    <w:p w14:paraId="22ED6A4D">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宋体" w:hAnsi="宋体" w:eastAsia="宋体" w:cs="宋体"/>
          <w:b/>
          <w:bCs/>
          <w:snapToGrid/>
          <w:kern w:val="2"/>
          <w:sz w:val="24"/>
          <w:szCs w:val="24"/>
          <w:highlight w:val="none"/>
          <w:lang w:val="en-US" w:eastAsia="zh-CN"/>
        </w:rPr>
      </w:pPr>
      <w:r>
        <w:rPr>
          <w:rFonts w:hint="eastAsia" w:ascii="宋体" w:hAnsi="宋体" w:eastAsia="宋体" w:cs="宋体"/>
          <w:b/>
          <w:bCs/>
          <w:snapToGrid/>
          <w:kern w:val="2"/>
          <w:sz w:val="24"/>
          <w:szCs w:val="24"/>
          <w:highlight w:val="none"/>
          <w:lang w:val="en-US" w:eastAsia="zh-CN"/>
        </w:rPr>
        <w:t>（四）其他要求</w:t>
      </w:r>
    </w:p>
    <w:p w14:paraId="5E8A70FD">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rPr>
          <w:rFonts w:hint="eastAsia"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4.1 中标单位承担设备与医院的系统的数据接口对接费用；</w:t>
      </w:r>
    </w:p>
    <w:p w14:paraId="60C464E2">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4.2 提供一台国产电脑工作站和彩色激光打印机；</w:t>
      </w:r>
    </w:p>
    <w:p w14:paraId="4147F42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4.2.1电脑配置：</w:t>
      </w:r>
    </w:p>
    <w:p w14:paraId="2CA7994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snapToGrid/>
          <w:color w:val="auto"/>
          <w:kern w:val="2"/>
          <w:sz w:val="24"/>
          <w:szCs w:val="24"/>
          <w:highlight w:val="none"/>
          <w:lang w:val="en-US" w:eastAsia="zh-CN"/>
        </w:rPr>
      </w:pPr>
      <w:r>
        <w:rPr>
          <w:rFonts w:hint="eastAsia" w:ascii="宋体" w:hAnsi="宋体" w:eastAsia="宋体" w:cs="宋体"/>
          <w:snapToGrid/>
          <w:kern w:val="2"/>
          <w:sz w:val="24"/>
          <w:szCs w:val="24"/>
          <w:highlight w:val="none"/>
          <w:lang w:val="en-US" w:eastAsia="zh-CN"/>
        </w:rPr>
        <w:t>4.2.1.1</w:t>
      </w:r>
      <w:r>
        <w:rPr>
          <w:rFonts w:hint="eastAsia" w:ascii="宋体" w:hAnsi="宋体" w:eastAsia="宋体" w:cs="宋体"/>
          <w:b w:val="0"/>
          <w:bCs/>
          <w:snapToGrid/>
          <w:color w:val="auto"/>
          <w:kern w:val="2"/>
          <w:sz w:val="24"/>
          <w:szCs w:val="24"/>
          <w:highlight w:val="none"/>
          <w:lang w:val="en-US" w:eastAsia="zh-CN"/>
        </w:rPr>
        <w:t>电脑主机</w:t>
      </w:r>
    </w:p>
    <w:p w14:paraId="3BBDFC4B">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720" w:firstLineChars="3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4.2.1.1.1  国产化CPU（8核，主频3.0GHz及以上）,必须在国家信创产品目录中</w:t>
      </w:r>
      <w:r>
        <w:rPr>
          <w:rFonts w:hint="eastAsia" w:ascii="宋体" w:hAnsi="宋体" w:eastAsia="宋体" w:cs="宋体"/>
          <w:kern w:val="2"/>
          <w:sz w:val="24"/>
          <w:szCs w:val="24"/>
          <w:lang w:val="en-US" w:eastAsia="zh-CN" w:bidi="ar-SA"/>
        </w:rPr>
        <w:t>；</w:t>
      </w:r>
    </w:p>
    <w:p w14:paraId="61F52884">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720" w:firstLineChars="3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4.2.1.1.2  内存≥</w:t>
      </w:r>
      <w:r>
        <w:rPr>
          <w:rFonts w:hint="eastAsia" w:ascii="宋体" w:hAnsi="宋体" w:eastAsia="宋体" w:cs="宋体"/>
          <w:b w:val="0"/>
          <w:bCs/>
          <w:snapToGrid/>
          <w:color w:val="auto"/>
          <w:sz w:val="24"/>
          <w:szCs w:val="24"/>
          <w:lang w:val="en-US" w:eastAsia="zh-CN"/>
        </w:rPr>
        <w:t>16GB</w:t>
      </w:r>
      <w:r>
        <w:rPr>
          <w:rFonts w:hint="eastAsia" w:ascii="宋体" w:hAnsi="宋体" w:eastAsia="宋体" w:cs="宋体"/>
          <w:kern w:val="2"/>
          <w:sz w:val="24"/>
          <w:szCs w:val="24"/>
          <w:lang w:val="en-US" w:eastAsia="zh-CN" w:bidi="ar-SA"/>
        </w:rPr>
        <w:t>；</w:t>
      </w:r>
    </w:p>
    <w:p w14:paraId="42D54DBC">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720" w:firstLineChars="3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4.2.1.1.3  固态硬盘≥1TB</w:t>
      </w:r>
      <w:r>
        <w:rPr>
          <w:rFonts w:hint="eastAsia" w:ascii="宋体" w:hAnsi="宋体" w:eastAsia="宋体" w:cs="宋体"/>
          <w:kern w:val="2"/>
          <w:sz w:val="24"/>
          <w:szCs w:val="24"/>
          <w:lang w:val="en-US" w:eastAsia="zh-CN" w:bidi="ar-SA"/>
        </w:rPr>
        <w:t>；</w:t>
      </w:r>
    </w:p>
    <w:p w14:paraId="6933034F">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720" w:firstLineChars="3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4.2.1.1.4  独立显卡≥2GB</w:t>
      </w:r>
      <w:r>
        <w:rPr>
          <w:rFonts w:hint="eastAsia" w:ascii="宋体" w:hAnsi="宋体" w:eastAsia="宋体" w:cs="宋体"/>
          <w:kern w:val="2"/>
          <w:sz w:val="24"/>
          <w:szCs w:val="24"/>
          <w:lang w:val="en-US" w:eastAsia="zh-CN" w:bidi="ar-SA"/>
        </w:rPr>
        <w:t>；</w:t>
      </w:r>
    </w:p>
    <w:p w14:paraId="23949A1F">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2070" w:leftChars="300" w:hanging="1440" w:hangingChars="6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4.2.1.1.5  能免费安装激活Windows操作系统，医院不需要单独付费，和医院医生站、</w:t>
      </w:r>
    </w:p>
    <w:p w14:paraId="4EA912D1">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2070" w:leftChars="300" w:hanging="1440" w:hangingChars="6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护士站软件兼容</w:t>
      </w:r>
      <w:r>
        <w:rPr>
          <w:rFonts w:hint="eastAsia" w:ascii="宋体" w:hAnsi="宋体" w:eastAsia="宋体" w:cs="宋体"/>
          <w:kern w:val="2"/>
          <w:sz w:val="24"/>
          <w:szCs w:val="24"/>
          <w:lang w:val="en-US" w:eastAsia="zh-CN" w:bidi="ar-SA"/>
        </w:rPr>
        <w:t>；</w:t>
      </w:r>
    </w:p>
    <w:p w14:paraId="31F51F37">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2070" w:leftChars="300" w:hanging="1440" w:hangingChars="6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4.2.1.1.6  能免费安装激活国产操作系统，医院不需要单独付费，和医院医生站、护</w:t>
      </w:r>
    </w:p>
    <w:p w14:paraId="0C3771FB">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2070" w:leftChars="300" w:hanging="1440" w:hangingChars="6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士站软件兼容</w:t>
      </w:r>
      <w:r>
        <w:rPr>
          <w:rFonts w:hint="eastAsia" w:ascii="宋体" w:hAnsi="宋体" w:eastAsia="宋体" w:cs="宋体"/>
          <w:kern w:val="2"/>
          <w:sz w:val="24"/>
          <w:szCs w:val="24"/>
          <w:lang w:val="en-US" w:eastAsia="zh-CN" w:bidi="ar-SA"/>
        </w:rPr>
        <w:t>；</w:t>
      </w:r>
    </w:p>
    <w:p w14:paraId="60473839">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720" w:firstLineChars="3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4.2.1.1.7  必须是品牌整机，不接受兼容机</w:t>
      </w:r>
      <w:r>
        <w:rPr>
          <w:rFonts w:hint="eastAsia" w:ascii="宋体" w:hAnsi="宋体" w:eastAsia="宋体" w:cs="宋体"/>
          <w:kern w:val="2"/>
          <w:sz w:val="24"/>
          <w:szCs w:val="24"/>
          <w:lang w:val="en-US" w:eastAsia="zh-CN" w:bidi="ar-SA"/>
        </w:rPr>
        <w:t>；</w:t>
      </w:r>
    </w:p>
    <w:p w14:paraId="2A597B99">
      <w:pPr>
        <w:pStyle w:val="2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720" w:firstLineChars="300"/>
        <w:jc w:val="both"/>
        <w:textAlignment w:val="baseline"/>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 w:val="0"/>
          <w:bCs/>
          <w:snapToGrid/>
          <w:color w:val="auto"/>
          <w:sz w:val="24"/>
          <w:szCs w:val="24"/>
          <w:highlight w:val="none"/>
          <w:lang w:val="en-US" w:eastAsia="zh-CN"/>
        </w:rPr>
        <w:t>4.2.1.1.8  标配鼠标键盘一套</w:t>
      </w:r>
      <w:r>
        <w:rPr>
          <w:rFonts w:hint="eastAsia" w:ascii="宋体" w:hAnsi="宋体" w:eastAsia="宋体" w:cs="宋体"/>
          <w:kern w:val="2"/>
          <w:sz w:val="24"/>
          <w:szCs w:val="24"/>
          <w:lang w:val="en-US" w:eastAsia="zh-CN" w:bidi="ar-SA"/>
        </w:rPr>
        <w:t>；</w:t>
      </w:r>
    </w:p>
    <w:p w14:paraId="7843726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snapToGrid/>
          <w:color w:val="auto"/>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4.2.1.2</w:t>
      </w:r>
      <w:r>
        <w:rPr>
          <w:rFonts w:hint="eastAsia" w:ascii="宋体" w:hAnsi="宋体" w:eastAsia="宋体" w:cs="宋体"/>
          <w:b w:val="0"/>
          <w:bCs/>
          <w:snapToGrid/>
          <w:color w:val="auto"/>
          <w:kern w:val="2"/>
          <w:sz w:val="24"/>
          <w:szCs w:val="24"/>
          <w:highlight w:val="none"/>
          <w:lang w:val="en-US" w:eastAsia="zh-CN"/>
        </w:rPr>
        <w:t>电脑显示器</w:t>
      </w:r>
    </w:p>
    <w:p w14:paraId="173B20C5">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snapToGrid/>
          <w:color w:val="auto"/>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 xml:space="preserve">4.2.1.2.1  </w:t>
      </w:r>
      <w:r>
        <w:rPr>
          <w:rFonts w:hint="eastAsia" w:ascii="宋体" w:hAnsi="宋体" w:eastAsia="宋体" w:cs="宋体"/>
          <w:b w:val="0"/>
          <w:bCs/>
          <w:snapToGrid/>
          <w:color w:val="auto"/>
          <w:kern w:val="2"/>
          <w:sz w:val="24"/>
          <w:szCs w:val="24"/>
          <w:highlight w:val="none"/>
          <w:lang w:val="en-US" w:eastAsia="zh-CN"/>
        </w:rPr>
        <w:t>屏幕尺寸≥23.8英寸</w:t>
      </w:r>
      <w:r>
        <w:rPr>
          <w:rFonts w:hint="eastAsia" w:ascii="宋体" w:hAnsi="宋体" w:eastAsia="宋体" w:cs="宋体"/>
          <w:kern w:val="2"/>
          <w:sz w:val="24"/>
          <w:szCs w:val="24"/>
          <w:lang w:val="en-US" w:eastAsia="zh-CN" w:bidi="ar-SA"/>
        </w:rPr>
        <w:t>；</w:t>
      </w:r>
    </w:p>
    <w:p w14:paraId="383846F7">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snapToGrid/>
          <w:color w:val="auto"/>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 xml:space="preserve">4.2.1.2.2  </w:t>
      </w:r>
      <w:r>
        <w:rPr>
          <w:rFonts w:hint="eastAsia" w:ascii="宋体" w:hAnsi="宋体" w:eastAsia="宋体" w:cs="宋体"/>
          <w:b w:val="0"/>
          <w:bCs/>
          <w:snapToGrid/>
          <w:color w:val="auto"/>
          <w:kern w:val="2"/>
          <w:sz w:val="24"/>
          <w:szCs w:val="24"/>
          <w:highlight w:val="none"/>
          <w:lang w:val="en-US" w:eastAsia="zh-CN"/>
        </w:rPr>
        <w:t>分辨率≥1920×1080</w:t>
      </w:r>
      <w:r>
        <w:rPr>
          <w:rFonts w:hint="eastAsia" w:ascii="宋体" w:hAnsi="宋体" w:eastAsia="宋体" w:cs="宋体"/>
          <w:kern w:val="2"/>
          <w:sz w:val="24"/>
          <w:szCs w:val="24"/>
          <w:lang w:val="en-US" w:eastAsia="zh-CN" w:bidi="ar-SA"/>
        </w:rPr>
        <w:t>；</w:t>
      </w:r>
    </w:p>
    <w:p w14:paraId="3D1FB7A9">
      <w:pPr>
        <w:pStyle w:val="24"/>
        <w:keepNext w:val="0"/>
        <w:keepLines w:val="0"/>
        <w:pageBreakBefore w:val="0"/>
        <w:widowControl w:val="0"/>
        <w:kinsoku/>
        <w:wordWrap/>
        <w:overflowPunct/>
        <w:topLinePunct w:val="0"/>
        <w:autoSpaceDE/>
        <w:autoSpaceDN/>
        <w:bidi w:val="0"/>
        <w:adjustRightInd/>
        <w:snapToGrid/>
        <w:spacing w:line="480" w:lineRule="exact"/>
        <w:ind w:firstLine="720" w:firstLineChars="300"/>
        <w:rPr>
          <w:rFonts w:hint="eastAsia" w:ascii="宋体" w:hAnsi="宋体" w:eastAsia="宋体" w:cs="宋体"/>
          <w:b w:val="0"/>
          <w:bCs/>
          <w:snapToGrid/>
          <w:color w:val="auto"/>
          <w:sz w:val="24"/>
          <w:szCs w:val="24"/>
          <w:highlight w:val="none"/>
          <w:lang w:val="en-US" w:eastAsia="zh-CN"/>
        </w:rPr>
      </w:pPr>
      <w:r>
        <w:rPr>
          <w:rFonts w:hint="eastAsia" w:hAnsi="宋体" w:cs="宋体"/>
          <w:b w:val="0"/>
          <w:bCs w:val="0"/>
          <w:snapToGrid/>
          <w:sz w:val="24"/>
          <w:szCs w:val="24"/>
          <w:highlight w:val="none"/>
          <w:lang w:val="en-US" w:eastAsia="zh-CN"/>
        </w:rPr>
        <w:t>4</w:t>
      </w:r>
      <w:r>
        <w:rPr>
          <w:rFonts w:hint="eastAsia" w:ascii="宋体" w:hAnsi="宋体" w:eastAsia="宋体" w:cs="宋体"/>
          <w:b w:val="0"/>
          <w:bCs w:val="0"/>
          <w:snapToGrid/>
          <w:sz w:val="24"/>
          <w:szCs w:val="24"/>
          <w:highlight w:val="none"/>
          <w:lang w:val="en-US" w:eastAsia="zh-CN"/>
        </w:rPr>
        <w:t>.</w:t>
      </w:r>
      <w:r>
        <w:rPr>
          <w:rFonts w:hint="eastAsia" w:hAnsi="宋体" w:cs="宋体"/>
          <w:b w:val="0"/>
          <w:bCs w:val="0"/>
          <w:snapToGrid/>
          <w:sz w:val="24"/>
          <w:szCs w:val="24"/>
          <w:highlight w:val="none"/>
          <w:lang w:val="en-US" w:eastAsia="zh-CN"/>
        </w:rPr>
        <w:t>2</w:t>
      </w:r>
      <w:r>
        <w:rPr>
          <w:rFonts w:hint="eastAsia" w:ascii="宋体" w:hAnsi="宋体" w:eastAsia="宋体" w:cs="宋体"/>
          <w:b w:val="0"/>
          <w:bCs w:val="0"/>
          <w:snapToGrid/>
          <w:sz w:val="24"/>
          <w:szCs w:val="24"/>
          <w:highlight w:val="none"/>
          <w:lang w:val="en-US" w:eastAsia="zh-CN"/>
        </w:rPr>
        <w:t>.</w:t>
      </w:r>
      <w:r>
        <w:rPr>
          <w:rFonts w:hint="eastAsia" w:hAnsi="宋体" w:cs="宋体"/>
          <w:b w:val="0"/>
          <w:bCs w:val="0"/>
          <w:snapToGrid/>
          <w:sz w:val="24"/>
          <w:szCs w:val="24"/>
          <w:highlight w:val="none"/>
          <w:lang w:val="en-US" w:eastAsia="zh-CN"/>
        </w:rPr>
        <w:t>1.</w:t>
      </w:r>
      <w:r>
        <w:rPr>
          <w:rFonts w:hint="eastAsia" w:ascii="宋体" w:hAnsi="宋体" w:eastAsia="宋体" w:cs="宋体"/>
          <w:b w:val="0"/>
          <w:bCs w:val="0"/>
          <w:snapToGrid/>
          <w:sz w:val="24"/>
          <w:szCs w:val="24"/>
          <w:highlight w:val="none"/>
          <w:lang w:val="en-US" w:eastAsia="zh-CN"/>
        </w:rPr>
        <w:t>2.</w:t>
      </w:r>
      <w:r>
        <w:rPr>
          <w:rFonts w:hint="eastAsia" w:hAnsi="宋体" w:cs="宋体"/>
          <w:b w:val="0"/>
          <w:bCs w:val="0"/>
          <w:snapToGrid/>
          <w:sz w:val="24"/>
          <w:szCs w:val="24"/>
          <w:highlight w:val="none"/>
          <w:lang w:val="en-US" w:eastAsia="zh-CN"/>
        </w:rPr>
        <w:t xml:space="preserve">3  </w:t>
      </w:r>
      <w:r>
        <w:rPr>
          <w:rFonts w:hint="eastAsia" w:ascii="宋体" w:hAnsi="宋体" w:eastAsia="宋体" w:cs="宋体"/>
          <w:b w:val="0"/>
          <w:bCs/>
          <w:snapToGrid/>
          <w:color w:val="auto"/>
          <w:sz w:val="24"/>
          <w:szCs w:val="24"/>
          <w:highlight w:val="none"/>
          <w:lang w:val="en-US" w:eastAsia="zh-CN"/>
        </w:rPr>
        <w:t>具有HDMI和VGA接口</w:t>
      </w:r>
      <w:r>
        <w:rPr>
          <w:rFonts w:hint="eastAsia" w:ascii="宋体" w:hAnsi="宋体" w:eastAsia="宋体" w:cs="宋体"/>
          <w:kern w:val="2"/>
          <w:sz w:val="24"/>
          <w:szCs w:val="24"/>
          <w:lang w:val="en-US" w:eastAsia="zh-CN" w:bidi="ar-SA"/>
        </w:rPr>
        <w:t>；</w:t>
      </w:r>
    </w:p>
    <w:p w14:paraId="5C9B069B">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snapToGrid/>
          <w:color w:val="auto"/>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 xml:space="preserve">4.2.1.2.4  </w:t>
      </w:r>
      <w:r>
        <w:rPr>
          <w:rFonts w:hint="eastAsia" w:ascii="宋体" w:hAnsi="宋体" w:eastAsia="宋体" w:cs="宋体"/>
          <w:b w:val="0"/>
          <w:bCs/>
          <w:snapToGrid/>
          <w:color w:val="auto"/>
          <w:kern w:val="2"/>
          <w:sz w:val="24"/>
          <w:szCs w:val="24"/>
          <w:highlight w:val="none"/>
          <w:lang w:val="en-US" w:eastAsia="zh-CN"/>
        </w:rPr>
        <w:t>须和电脑主机同品牌</w:t>
      </w:r>
      <w:r>
        <w:rPr>
          <w:rFonts w:hint="eastAsia" w:ascii="宋体" w:hAnsi="宋体" w:eastAsia="宋体" w:cs="宋体"/>
          <w:kern w:val="2"/>
          <w:sz w:val="24"/>
          <w:szCs w:val="24"/>
          <w:lang w:val="en-US" w:eastAsia="zh-CN" w:bidi="ar-SA"/>
        </w:rPr>
        <w:t>；</w:t>
      </w:r>
    </w:p>
    <w:p w14:paraId="5E724BB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4.2.3 彩色激光打印机配置:</w:t>
      </w:r>
    </w:p>
    <w:p w14:paraId="281E17BC">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b w:val="0"/>
          <w:bCs w:val="0"/>
          <w:snapToGrid/>
          <w:kern w:val="2"/>
          <w:sz w:val="24"/>
          <w:szCs w:val="24"/>
          <w:highlight w:val="none"/>
          <w:lang w:val="en-US" w:eastAsia="zh-CN"/>
        </w:rPr>
        <w:t xml:space="preserve">4.2.3.1  </w:t>
      </w:r>
      <w:r>
        <w:rPr>
          <w:rFonts w:hint="eastAsia" w:ascii="宋体" w:hAnsi="宋体" w:eastAsia="宋体" w:cs="宋体"/>
          <w:snapToGrid/>
          <w:kern w:val="2"/>
          <w:sz w:val="24"/>
          <w:szCs w:val="24"/>
          <w:lang w:val="en-US" w:eastAsia="zh-CN"/>
        </w:rPr>
        <w:t>能够彩色、黑白打印</w:t>
      </w:r>
      <w:r>
        <w:rPr>
          <w:rFonts w:hint="eastAsia" w:ascii="宋体" w:hAnsi="宋体" w:eastAsia="宋体" w:cs="宋体"/>
          <w:kern w:val="2"/>
          <w:sz w:val="24"/>
          <w:szCs w:val="24"/>
          <w:lang w:val="en-US" w:eastAsia="zh-CN" w:bidi="ar-SA"/>
        </w:rPr>
        <w:t>；</w:t>
      </w:r>
    </w:p>
    <w:p w14:paraId="060A2786">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b w:val="0"/>
          <w:bCs w:val="0"/>
          <w:snapToGrid/>
          <w:kern w:val="2"/>
          <w:sz w:val="24"/>
          <w:szCs w:val="24"/>
          <w:highlight w:val="none"/>
          <w:lang w:val="en-US" w:eastAsia="zh-CN"/>
        </w:rPr>
        <w:t xml:space="preserve">4.2.3.2  </w:t>
      </w:r>
      <w:r>
        <w:rPr>
          <w:rFonts w:hint="eastAsia" w:ascii="宋体" w:hAnsi="宋体" w:eastAsia="宋体" w:cs="宋体"/>
          <w:snapToGrid/>
          <w:kern w:val="2"/>
          <w:sz w:val="24"/>
          <w:szCs w:val="24"/>
          <w:lang w:val="en-US" w:eastAsia="zh-CN"/>
        </w:rPr>
        <w:t>打印分辨率≥1200*1200dpi</w:t>
      </w:r>
      <w:r>
        <w:rPr>
          <w:rFonts w:hint="eastAsia" w:ascii="宋体" w:hAnsi="宋体" w:eastAsia="宋体" w:cs="宋体"/>
          <w:kern w:val="2"/>
          <w:sz w:val="24"/>
          <w:szCs w:val="24"/>
          <w:lang w:val="en-US" w:eastAsia="zh-CN" w:bidi="ar-SA"/>
        </w:rPr>
        <w:t>；</w:t>
      </w:r>
    </w:p>
    <w:p w14:paraId="7608096A">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b w:val="0"/>
          <w:bCs w:val="0"/>
          <w:snapToGrid/>
          <w:kern w:val="2"/>
          <w:sz w:val="24"/>
          <w:szCs w:val="24"/>
          <w:highlight w:val="none"/>
          <w:lang w:val="en-US" w:eastAsia="zh-CN"/>
        </w:rPr>
        <w:t xml:space="preserve">4.2.3.3  </w:t>
      </w:r>
      <w:r>
        <w:rPr>
          <w:rFonts w:hint="eastAsia" w:ascii="宋体" w:hAnsi="宋体" w:eastAsia="宋体" w:cs="宋体"/>
          <w:snapToGrid/>
          <w:kern w:val="2"/>
          <w:sz w:val="24"/>
          <w:szCs w:val="24"/>
          <w:lang w:val="en-US" w:eastAsia="zh-CN"/>
        </w:rPr>
        <w:t>A4、B5、A5、16K等纸张均能打印</w:t>
      </w:r>
      <w:r>
        <w:rPr>
          <w:rFonts w:hint="eastAsia" w:ascii="宋体" w:hAnsi="宋体" w:eastAsia="宋体" w:cs="宋体"/>
          <w:kern w:val="2"/>
          <w:sz w:val="24"/>
          <w:szCs w:val="24"/>
          <w:lang w:val="en-US" w:eastAsia="zh-CN" w:bidi="ar-SA"/>
        </w:rPr>
        <w:t>；</w:t>
      </w:r>
    </w:p>
    <w:p w14:paraId="38E8605B">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b w:val="0"/>
          <w:bCs w:val="0"/>
          <w:snapToGrid/>
          <w:kern w:val="2"/>
          <w:sz w:val="24"/>
          <w:szCs w:val="24"/>
          <w:highlight w:val="none"/>
          <w:lang w:val="en-US" w:eastAsia="zh-CN"/>
        </w:rPr>
        <w:t xml:space="preserve">4.2.3.4  </w:t>
      </w:r>
      <w:r>
        <w:rPr>
          <w:rFonts w:hint="eastAsia" w:ascii="宋体" w:hAnsi="宋体" w:eastAsia="宋体" w:cs="宋体"/>
          <w:snapToGrid/>
          <w:kern w:val="2"/>
          <w:sz w:val="24"/>
          <w:szCs w:val="24"/>
          <w:lang w:val="en-US" w:eastAsia="zh-CN"/>
        </w:rPr>
        <w:t>USB接口</w:t>
      </w:r>
      <w:r>
        <w:rPr>
          <w:rFonts w:hint="eastAsia" w:ascii="宋体" w:hAnsi="宋体" w:eastAsia="宋体" w:cs="宋体"/>
          <w:kern w:val="2"/>
          <w:sz w:val="24"/>
          <w:szCs w:val="24"/>
          <w:lang w:val="en-US" w:eastAsia="zh-CN" w:bidi="ar-SA"/>
        </w:rPr>
        <w:t>；</w:t>
      </w:r>
    </w:p>
    <w:p w14:paraId="53A5123E">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default" w:ascii="宋体" w:hAnsi="宋体" w:eastAsia="宋体" w:cs="宋体"/>
          <w:snapToGrid/>
          <w:kern w:val="2"/>
          <w:sz w:val="24"/>
          <w:szCs w:val="24"/>
          <w:lang w:val="en-US" w:eastAsia="zh-CN"/>
        </w:rPr>
      </w:pPr>
      <w:r>
        <w:rPr>
          <w:rFonts w:hint="eastAsia" w:ascii="宋体" w:hAnsi="宋体" w:eastAsia="宋体" w:cs="宋体"/>
          <w:b w:val="0"/>
          <w:bCs w:val="0"/>
          <w:snapToGrid/>
          <w:kern w:val="2"/>
          <w:sz w:val="24"/>
          <w:szCs w:val="24"/>
          <w:highlight w:val="none"/>
          <w:lang w:val="en-US" w:eastAsia="zh-CN"/>
        </w:rPr>
        <w:t xml:space="preserve">4.2.3.5  </w:t>
      </w:r>
      <w:r>
        <w:rPr>
          <w:rFonts w:hint="eastAsia" w:ascii="宋体" w:hAnsi="宋体" w:eastAsia="宋体" w:cs="宋体"/>
          <w:snapToGrid/>
          <w:kern w:val="2"/>
          <w:sz w:val="24"/>
          <w:szCs w:val="24"/>
          <w:lang w:val="en-US" w:eastAsia="zh-CN"/>
        </w:rPr>
        <w:t>打印速度≥20页/分钟（彩色），≥20页分钟（黑白）</w:t>
      </w:r>
      <w:r>
        <w:rPr>
          <w:rFonts w:hint="eastAsia" w:ascii="宋体" w:hAnsi="宋体" w:eastAsia="宋体" w:cs="宋体"/>
          <w:kern w:val="2"/>
          <w:sz w:val="24"/>
          <w:szCs w:val="24"/>
          <w:lang w:val="en-US" w:eastAsia="zh-CN" w:bidi="ar-SA"/>
        </w:rPr>
        <w:t>；</w:t>
      </w:r>
    </w:p>
    <w:p w14:paraId="053E331A">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default"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 xml:space="preserve">4.2.3.6  </w:t>
      </w:r>
      <w:r>
        <w:rPr>
          <w:rFonts w:hint="eastAsia" w:ascii="宋体" w:hAnsi="宋体" w:eastAsia="宋体" w:cs="宋体"/>
          <w:snapToGrid/>
          <w:kern w:val="2"/>
          <w:sz w:val="24"/>
          <w:szCs w:val="24"/>
          <w:lang w:val="en-US" w:eastAsia="zh-CN"/>
        </w:rPr>
        <w:t>能和医院医生站、护士站软件兼容。</w:t>
      </w:r>
    </w:p>
    <w:p w14:paraId="6C464285">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rPr>
          <w:rFonts w:hint="default"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4.3 采集卡配置能满足超声影像采集需求，和医院的系统兼容</w:t>
      </w:r>
      <w:r>
        <w:rPr>
          <w:rFonts w:hint="eastAsia" w:ascii="宋体" w:hAnsi="宋体" w:eastAsia="宋体" w:cs="宋体"/>
          <w:kern w:val="2"/>
          <w:sz w:val="24"/>
          <w:szCs w:val="24"/>
          <w:lang w:val="en-US" w:eastAsia="zh-CN" w:bidi="ar-SA"/>
        </w:rPr>
        <w:t>；</w:t>
      </w:r>
    </w:p>
    <w:p w14:paraId="17082354">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rPr>
          <w:rFonts w:hint="eastAsia"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val="en-US" w:eastAsia="zh-CN"/>
        </w:rPr>
        <w:t>4.4 彩超免费开放数据端口，在医院需要时，厂家工程师应在24小时响应，提供免费服务；</w:t>
      </w:r>
    </w:p>
    <w:p w14:paraId="2F5FE93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宋体" w:hAnsi="宋体" w:eastAsia="宋体" w:cs="宋体"/>
          <w:b w:val="0"/>
          <w:bCs w:val="0"/>
          <w:snapToGrid/>
          <w:kern w:val="2"/>
          <w:sz w:val="24"/>
          <w:szCs w:val="24"/>
          <w:highlight w:val="none"/>
          <w:lang w:val="en-US" w:eastAsia="zh-CN"/>
        </w:rPr>
      </w:pPr>
      <w:r>
        <w:rPr>
          <w:rFonts w:hint="eastAsia" w:ascii="宋体" w:hAnsi="宋体" w:eastAsia="宋体" w:cs="宋体"/>
          <w:b w:val="0"/>
          <w:bCs w:val="0"/>
          <w:snapToGrid/>
          <w:kern w:val="2"/>
          <w:sz w:val="24"/>
          <w:szCs w:val="24"/>
          <w:highlight w:val="none"/>
          <w:lang w:eastAsia="zh-CN"/>
        </w:rPr>
        <w:t>★</w:t>
      </w:r>
      <w:r>
        <w:rPr>
          <w:rFonts w:hint="eastAsia" w:ascii="宋体" w:hAnsi="宋体" w:eastAsia="宋体" w:cs="宋体"/>
          <w:b w:val="0"/>
          <w:bCs w:val="0"/>
          <w:snapToGrid/>
          <w:kern w:val="2"/>
          <w:sz w:val="24"/>
          <w:szCs w:val="24"/>
          <w:highlight w:val="none"/>
          <w:lang w:val="en-US" w:eastAsia="zh-CN"/>
        </w:rPr>
        <w:t>4.5彩超应免费开放所有的软件服务功能，并承诺在以后可以免费提供软件升级服务；</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p>
    <w:p w14:paraId="1F29966A">
      <w:pPr>
        <w:keepNext w:val="0"/>
        <w:keepLines w:val="0"/>
        <w:pageBreakBefore w:val="0"/>
        <w:widowControl w:val="0"/>
        <w:shd w:val="clear"/>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b w:val="0"/>
          <w:bCs/>
          <w:snapToGrid/>
          <w:color w:val="auto"/>
          <w:kern w:val="2"/>
          <w:sz w:val="24"/>
          <w:szCs w:val="24"/>
          <w:highlight w:val="none"/>
          <w:lang w:eastAsia="zh-CN"/>
        </w:rPr>
      </w:pPr>
      <w:r>
        <w:rPr>
          <w:rFonts w:hint="eastAsia" w:ascii="宋体" w:hAnsi="宋体" w:eastAsia="宋体" w:cs="宋体"/>
          <w:b w:val="0"/>
          <w:bCs/>
          <w:snapToGrid/>
          <w:color w:val="auto"/>
          <w:kern w:val="2"/>
          <w:sz w:val="24"/>
          <w:szCs w:val="24"/>
          <w:highlight w:val="none"/>
          <w:lang w:val="en-US" w:eastAsia="zh-CN"/>
        </w:rPr>
        <w:t>4.6</w:t>
      </w:r>
      <w:r>
        <w:rPr>
          <w:rFonts w:hint="eastAsia" w:ascii="宋体" w:hAnsi="宋体" w:eastAsia="宋体" w:cs="宋体"/>
          <w:b w:val="0"/>
          <w:bCs/>
          <w:snapToGrid/>
          <w:color w:val="auto"/>
          <w:kern w:val="2"/>
          <w:sz w:val="24"/>
          <w:szCs w:val="24"/>
          <w:highlight w:val="none"/>
          <w:lang w:eastAsia="zh-CN"/>
        </w:rPr>
        <w:t>免费提供</w:t>
      </w:r>
      <w:r>
        <w:rPr>
          <w:rFonts w:hint="eastAsia" w:ascii="宋体" w:hAnsi="宋体" w:eastAsia="宋体" w:cs="宋体"/>
          <w:b w:val="0"/>
          <w:bCs/>
          <w:snapToGrid/>
          <w:color w:val="auto"/>
          <w:kern w:val="2"/>
          <w:sz w:val="24"/>
          <w:szCs w:val="24"/>
          <w:highlight w:val="none"/>
          <w:lang w:val="en-US" w:eastAsia="zh-CN"/>
        </w:rPr>
        <w:t>两份</w:t>
      </w:r>
      <w:r>
        <w:rPr>
          <w:rFonts w:hint="eastAsia" w:ascii="宋体" w:hAnsi="宋体" w:eastAsia="宋体" w:cs="宋体"/>
          <w:b w:val="0"/>
          <w:bCs/>
          <w:snapToGrid/>
          <w:color w:val="auto"/>
          <w:kern w:val="2"/>
          <w:sz w:val="24"/>
          <w:szCs w:val="24"/>
          <w:highlight w:val="none"/>
          <w:lang w:eastAsia="zh-CN"/>
        </w:rPr>
        <w:t>用户操作手册</w:t>
      </w:r>
      <w:r>
        <w:rPr>
          <w:rFonts w:hint="eastAsia" w:ascii="宋体" w:hAnsi="宋体" w:eastAsia="宋体" w:cs="宋体"/>
          <w:b w:val="0"/>
          <w:bCs/>
          <w:snapToGrid/>
          <w:color w:val="auto"/>
          <w:kern w:val="2"/>
          <w:sz w:val="24"/>
          <w:szCs w:val="24"/>
          <w:highlight w:val="none"/>
          <w:lang w:val="en-US" w:eastAsia="zh-CN"/>
        </w:rPr>
        <w:t>；</w:t>
      </w:r>
    </w:p>
    <w:p w14:paraId="2CA9D06D">
      <w:pPr>
        <w:keepNext w:val="0"/>
        <w:keepLines w:val="0"/>
        <w:pageBreakBefore w:val="0"/>
        <w:widowControl w:val="0"/>
        <w:shd w:val="clear"/>
        <w:kinsoku/>
        <w:wordWrap/>
        <w:overflowPunct/>
        <w:topLinePunct w:val="0"/>
        <w:autoSpaceDE/>
        <w:autoSpaceDN/>
        <w:bidi w:val="0"/>
        <w:adjustRightInd/>
        <w:snapToGrid/>
        <w:spacing w:line="480" w:lineRule="exact"/>
        <w:ind w:firstLine="240" w:firstLineChars="100"/>
        <w:jc w:val="both"/>
        <w:textAlignment w:val="auto"/>
        <w:rPr>
          <w:rFonts w:hint="default" w:ascii="宋体" w:hAnsi="宋体" w:eastAsia="宋体" w:cs="宋体"/>
          <w:b w:val="0"/>
          <w:bCs/>
          <w:snapToGrid/>
          <w:color w:val="auto"/>
          <w:kern w:val="2"/>
          <w:sz w:val="24"/>
          <w:szCs w:val="24"/>
          <w:highlight w:val="none"/>
          <w:lang w:val="en-US" w:eastAsia="zh-CN"/>
        </w:rPr>
      </w:pPr>
      <w:r>
        <w:rPr>
          <w:rFonts w:hint="eastAsia" w:ascii="宋体" w:hAnsi="宋体" w:eastAsia="宋体" w:cs="宋体"/>
          <w:b w:val="0"/>
          <w:bCs/>
          <w:snapToGrid/>
          <w:color w:val="auto"/>
          <w:kern w:val="2"/>
          <w:sz w:val="24"/>
          <w:szCs w:val="24"/>
          <w:highlight w:val="none"/>
          <w:lang w:val="en-US" w:eastAsia="zh-CN"/>
        </w:rPr>
        <w:t>4.7 投标</w:t>
      </w:r>
      <w:r>
        <w:rPr>
          <w:rFonts w:hint="eastAsia" w:ascii="宋体" w:hAnsi="宋体" w:eastAsia="宋体" w:cs="宋体"/>
          <w:b w:val="0"/>
          <w:bCs/>
          <w:snapToGrid/>
          <w:color w:val="auto"/>
          <w:kern w:val="2"/>
          <w:sz w:val="24"/>
          <w:szCs w:val="24"/>
          <w:highlight w:val="none"/>
          <w:lang w:eastAsia="zh-CN"/>
        </w:rPr>
        <w:t>文件中应含易损件规格、型号和单价</w:t>
      </w:r>
      <w:r>
        <w:rPr>
          <w:rFonts w:hint="eastAsia" w:ascii="宋体" w:hAnsi="宋体" w:eastAsia="宋体" w:cs="宋体"/>
          <w:b w:val="0"/>
          <w:bCs/>
          <w:snapToGrid/>
          <w:color w:val="auto"/>
          <w:kern w:val="2"/>
          <w:sz w:val="24"/>
          <w:szCs w:val="24"/>
          <w:highlight w:val="none"/>
          <w:lang w:val="en-US" w:eastAsia="zh-CN"/>
        </w:rPr>
        <w:t>；</w:t>
      </w:r>
    </w:p>
    <w:p w14:paraId="7E26111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b w:val="0"/>
          <w:bCs/>
          <w:snapToGrid/>
          <w:color w:val="auto"/>
          <w:kern w:val="2"/>
          <w:sz w:val="24"/>
          <w:szCs w:val="24"/>
          <w:highlight w:val="none"/>
          <w:lang w:eastAsia="zh-CN"/>
        </w:rPr>
      </w:pPr>
      <w:r>
        <w:rPr>
          <w:rFonts w:hint="eastAsia" w:ascii="宋体" w:hAnsi="宋体" w:eastAsia="宋体" w:cs="宋体"/>
          <w:b w:val="0"/>
          <w:bCs w:val="0"/>
          <w:snapToGrid/>
          <w:kern w:val="2"/>
          <w:sz w:val="24"/>
          <w:szCs w:val="24"/>
          <w:highlight w:val="none"/>
          <w:lang w:eastAsia="zh-CN"/>
        </w:rPr>
        <w:t>★</w:t>
      </w:r>
      <w:r>
        <w:rPr>
          <w:rFonts w:hint="eastAsia" w:ascii="宋体" w:hAnsi="宋体" w:eastAsia="宋体" w:cs="宋体"/>
          <w:b w:val="0"/>
          <w:bCs/>
          <w:snapToGrid/>
          <w:color w:val="auto"/>
          <w:kern w:val="2"/>
          <w:sz w:val="24"/>
          <w:szCs w:val="24"/>
          <w:highlight w:val="none"/>
          <w:lang w:val="en-US" w:eastAsia="zh-CN"/>
        </w:rPr>
        <w:t>4.8 设备铭牌上标明设备使用年限</w:t>
      </w:r>
      <w:r>
        <w:rPr>
          <w:rFonts w:hint="eastAsia" w:ascii="宋体" w:hAnsi="宋体" w:eastAsia="宋体" w:cs="宋体"/>
          <w:b w:val="0"/>
          <w:bCs/>
          <w:snapToGrid/>
          <w:color w:val="auto"/>
          <w:kern w:val="2"/>
          <w:sz w:val="24"/>
          <w:szCs w:val="24"/>
          <w:highlight w:val="none"/>
          <w:lang w:eastAsia="zh-CN"/>
        </w:rPr>
        <w:t>≥</w:t>
      </w:r>
      <w:r>
        <w:rPr>
          <w:rFonts w:hint="eastAsia" w:ascii="宋体" w:hAnsi="宋体" w:eastAsia="宋体" w:cs="宋体"/>
          <w:b w:val="0"/>
          <w:bCs/>
          <w:snapToGrid/>
          <w:color w:val="auto"/>
          <w:kern w:val="2"/>
          <w:sz w:val="24"/>
          <w:szCs w:val="24"/>
          <w:highlight w:val="none"/>
          <w:lang w:val="en-US" w:eastAsia="zh-CN"/>
        </w:rPr>
        <w:t>7</w:t>
      </w:r>
      <w:r>
        <w:rPr>
          <w:rFonts w:hint="eastAsia" w:ascii="宋体" w:hAnsi="宋体" w:eastAsia="宋体" w:cs="宋体"/>
          <w:b w:val="0"/>
          <w:bCs/>
          <w:snapToGrid/>
          <w:color w:val="auto"/>
          <w:kern w:val="2"/>
          <w:sz w:val="24"/>
          <w:szCs w:val="24"/>
          <w:highlight w:val="none"/>
          <w:lang w:eastAsia="zh-CN"/>
        </w:rPr>
        <w:t>年</w:t>
      </w:r>
      <w:r>
        <w:rPr>
          <w:rFonts w:hint="eastAsia" w:ascii="宋体" w:hAnsi="宋体" w:eastAsia="宋体" w:cs="宋体"/>
          <w:b w:val="0"/>
          <w:bCs/>
          <w:snapToGrid/>
          <w:color w:val="auto"/>
          <w:kern w:val="2"/>
          <w:sz w:val="24"/>
          <w:szCs w:val="24"/>
          <w:highlight w:val="none"/>
          <w:lang w:val="en-US" w:eastAsia="zh-CN"/>
        </w:rPr>
        <w:t>；</w:t>
      </w:r>
    </w:p>
    <w:p w14:paraId="6E969A4B">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default" w:asciiTheme="minorEastAsia" w:hAnsiTheme="minorEastAsia" w:eastAsiaTheme="minorEastAsia" w:cstheme="minorEastAsia"/>
          <w:b/>
          <w:bCs/>
          <w:spacing w:val="0"/>
          <w:position w:val="0"/>
          <w:sz w:val="24"/>
          <w:szCs w:val="24"/>
          <w:highlight w:val="none"/>
          <w:lang w:val="en-US" w:eastAsia="zh-CN"/>
        </w:rPr>
      </w:pPr>
      <w:bookmarkStart w:id="191" w:name="bookmark12"/>
      <w:bookmarkEnd w:id="191"/>
      <w:bookmarkStart w:id="192" w:name="bookmark6"/>
      <w:bookmarkEnd w:id="192"/>
      <w:r>
        <w:rPr>
          <w:rFonts w:hint="eastAsia" w:asciiTheme="minorEastAsia" w:hAnsiTheme="minorEastAsia" w:eastAsiaTheme="minorEastAsia" w:cstheme="minorEastAsia"/>
          <w:b/>
          <w:bCs/>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交货时间及地点 </w:t>
      </w:r>
    </w:p>
    <w:p w14:paraId="2C453CE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1.交货日期：合同签订后，接到医院通知 30 天之内货物运抵医院。</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p>
    <w:p w14:paraId="2D9A151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480" w:lineRule="exact"/>
        <w:ind w:leftChars="200" w:right="0" w:rightChars="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323CB679">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验收标准 </w:t>
      </w:r>
    </w:p>
    <w:p w14:paraId="69CA999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6575D61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5883221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color w:val="auto"/>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r>
        <w:rPr>
          <w:rFonts w:hint="eastAsia" w:asciiTheme="minorEastAsia" w:hAnsiTheme="minorEastAsia" w:eastAsiaTheme="minorEastAsia" w:cstheme="minorEastAsia"/>
          <w:b/>
          <w:bCs/>
          <w:spacing w:val="0"/>
          <w:position w:val="0"/>
          <w:sz w:val="24"/>
          <w:szCs w:val="24"/>
          <w:highlight w:val="none"/>
          <w:lang w:val="en-US" w:eastAsia="zh-CN"/>
        </w:rPr>
        <w:br w:type="textWrapping"/>
      </w:r>
      <w:r>
        <w:rPr>
          <w:rFonts w:hint="eastAsia" w:asciiTheme="minorEastAsia" w:hAnsiTheme="minorEastAsia" w:eastAsiaTheme="minorEastAsia" w:cstheme="minorEastAsia"/>
          <w:b/>
          <w:bCs/>
          <w:color w:val="auto"/>
          <w:spacing w:val="0"/>
          <w:position w:val="0"/>
          <w:sz w:val="24"/>
          <w:szCs w:val="24"/>
          <w:highlight w:val="none"/>
          <w:shd w:val="clear"/>
          <w:lang w:val="en-US" w:eastAsia="zh-CN"/>
        </w:rPr>
        <w:t xml:space="preserve">  </w:t>
      </w:r>
      <w:r>
        <w:rPr>
          <w:rFonts w:hint="eastAsia" w:asciiTheme="minorEastAsia" w:hAnsiTheme="minorEastAsia" w:eastAsiaTheme="minorEastAsia" w:cstheme="minorEastAsia"/>
          <w:color w:val="auto"/>
          <w:spacing w:val="0"/>
          <w:position w:val="0"/>
          <w:sz w:val="24"/>
          <w:szCs w:val="24"/>
          <w:highlight w:val="none"/>
          <w:shd w:val="clear"/>
          <w:lang w:val="en-US" w:eastAsia="zh-CN"/>
        </w:rPr>
        <w:t xml:space="preserve"> 4.投标人承诺所投产品能对接工作现有信息系统，所产生的第三方接口费用以及所需材料费用由投标人包含在投标报价内，采购人不再单独支付额外费用。</w:t>
      </w:r>
    </w:p>
    <w:p w14:paraId="5100860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2" w:firstLineChars="20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五、</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质保期及售后服务 （提供承诺书并加盖投标人电子签章）</w:t>
      </w:r>
    </w:p>
    <w:p w14:paraId="6F11178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（一）质保期：</w:t>
      </w:r>
    </w:p>
    <w:p w14:paraId="7396932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投标人报价时须承诺所供货物整机（包含第三方设备）免费质保不少于 3 年（自验收报告签字确认日起，开始进入质保期）。</w:t>
      </w:r>
    </w:p>
    <w:p w14:paraId="511EE13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提供以下质保承诺函任意之一：</w:t>
      </w:r>
    </w:p>
    <w:p w14:paraId="2BDB268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1.原厂和投标单位共同盖章的质保承诺函；</w:t>
      </w:r>
    </w:p>
    <w:p w14:paraId="1ACC654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2.所投品牌的国内一级授权商和投标单位共同盖章的质保承诺函；</w:t>
      </w:r>
    </w:p>
    <w:p w14:paraId="17C13F5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3.所投品牌的全国总代和投标单位共同盖章的质保承诺函。</w:t>
      </w:r>
    </w:p>
    <w:p w14:paraId="300817B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成交投标人对质保期内所发生的设备维护、维修、更换等一切费用负责。</w:t>
      </w:r>
    </w:p>
    <w:p w14:paraId="5E37BFE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提供设备关键配件清单（包括但不限于名称、型号、参考价格等）。</w:t>
      </w:r>
    </w:p>
    <w:p w14:paraId="548E0C4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hAnsi="宋体" w:cs="宋体"/>
          <w:bCs/>
          <w:szCs w:val="21"/>
        </w:rPr>
      </w:pP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hAnsi="宋体" w:cs="宋体"/>
          <w:bCs/>
          <w:szCs w:val="21"/>
        </w:rPr>
        <w:t>质保期过后，对于货物维修只收取基本材料成本费，不收取工时费。</w:t>
      </w:r>
    </w:p>
    <w:p w14:paraId="7438D7A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（三）售后服务</w:t>
      </w:r>
    </w:p>
    <w:p w14:paraId="0563877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733F42D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设备故障时能够提供备用机，备用机在医院联系48小时内提供。质保期内定期对设备进行免费保养和维护，提供终身维护和保养服务（请提供技术援助电话和售后服务电话），定期对用户进行回访、技术支持，包括及时回答提出的问题。</w:t>
      </w:r>
    </w:p>
    <w:p w14:paraId="585A194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472B255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4.投标人应按照国家有关法律法规和“三包”规定以及投标文件中的“售后服务承诺”提供服务。</w:t>
      </w:r>
    </w:p>
    <w:p w14:paraId="29D7948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5.因投标人所提供的产品，造成采购人设备损坏或其他损失，以及其他第三方损失的，一经核实，投标人必须赔偿采购人或第三方因此造成的所有损失。</w:t>
      </w:r>
    </w:p>
    <w:p w14:paraId="391BB72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29BAF1D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7.终身提供应用技术服务，设备出现故障时保证 24 小时内服务维修响应。</w:t>
      </w:r>
    </w:p>
    <w:p w14:paraId="1163E15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8.备件要求：</w:t>
      </w:r>
    </w:p>
    <w:p w14:paraId="774E7CC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（1）投标人应设置备件库，存入所有必需的备件，保证必要时可以及时供应技术及维修服务。</w:t>
      </w:r>
    </w:p>
    <w:p w14:paraId="7ECAD55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（2）投标人应配置工程技术人员，随时提供开箱验货、安装、调试或维修等服务。</w:t>
      </w:r>
    </w:p>
    <w:p w14:paraId="0711570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77F6E3B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（四）人员培训</w:t>
      </w:r>
    </w:p>
    <w:p w14:paraId="06135FC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1784A24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2.对采购人员工进行设备安全培训。</w:t>
      </w:r>
    </w:p>
    <w:p w14:paraId="16F46C2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3.提供设备运行、调试、维护过程中必要的专用工具、软件，以及对相关人员进行工艺设置、设备运行、调试和维护过程中相关的专用工具及软件使用的培训。</w:t>
      </w:r>
    </w:p>
    <w:p w14:paraId="3300DE4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4.成交投标人应免费提供一定数量的培训资料。</w:t>
      </w:r>
    </w:p>
    <w:p w14:paraId="0BE1A49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六、付款方式</w:t>
      </w:r>
    </w:p>
    <w:p w14:paraId="553F7C2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宋体" w:hAnsi="宋体" w:eastAsia="宋体" w:cs="宋体"/>
          <w:spacing w:val="0"/>
          <w:position w:val="0"/>
          <w:sz w:val="24"/>
          <w:szCs w:val="24"/>
          <w:highlight w:val="none"/>
          <w:lang w:val="en-US" w:eastAsia="zh-CN"/>
        </w:rPr>
        <w:t>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5648ED79">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p>
    <w:p w14:paraId="303D5DC0">
      <w:pPr>
        <w:rPr>
          <w:rFonts w:hint="eastAsia" w:asciiTheme="minorEastAsia" w:hAnsiTheme="minorEastAsia" w:eastAsiaTheme="minorEastAsia" w:cstheme="minorEastAsia"/>
          <w:b/>
          <w:bCs/>
          <w:spacing w:val="0"/>
          <w:position w:val="0"/>
          <w:sz w:val="35"/>
          <w:szCs w:val="35"/>
          <w:highlight w:val="none"/>
        </w:rPr>
      </w:pPr>
      <w:r>
        <w:rPr>
          <w:rFonts w:hint="eastAsia" w:asciiTheme="minorEastAsia" w:hAnsiTheme="minorEastAsia" w:eastAsiaTheme="minorEastAsia" w:cstheme="minorEastAsia"/>
          <w:b/>
          <w:bCs/>
          <w:spacing w:val="0"/>
          <w:position w:val="0"/>
          <w:sz w:val="35"/>
          <w:szCs w:val="35"/>
          <w:highlight w:val="none"/>
        </w:rPr>
        <w:br w:type="page"/>
      </w:r>
    </w:p>
    <w:p w14:paraId="236659F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Theme="minorEastAsia" w:hAnsiTheme="minorEastAsia" w:eastAsiaTheme="minorEastAsia" w:cstheme="minorEastAsia"/>
          <w:b/>
          <w:bCs/>
          <w:spacing w:val="0"/>
          <w:position w:val="0"/>
          <w:sz w:val="35"/>
          <w:szCs w:val="35"/>
          <w:highlight w:val="none"/>
        </w:rPr>
      </w:pPr>
      <w:bookmarkStart w:id="193" w:name="_Toc15619"/>
      <w:r>
        <w:rPr>
          <w:rFonts w:hint="eastAsia" w:asciiTheme="minorEastAsia" w:hAnsiTheme="minorEastAsia" w:eastAsiaTheme="minorEastAsia" w:cstheme="minorEastAsia"/>
          <w:b/>
          <w:bCs/>
          <w:spacing w:val="0"/>
          <w:position w:val="0"/>
          <w:sz w:val="35"/>
          <w:szCs w:val="35"/>
          <w:highlight w:val="none"/>
        </w:rPr>
        <w:t>第六章 投标文件格式</w:t>
      </w:r>
      <w:bookmarkEnd w:id="193"/>
    </w:p>
    <w:p w14:paraId="5996461E">
      <w:pPr>
        <w:pStyle w:val="6"/>
        <w:shd w:val="clear"/>
        <w:spacing w:line="360" w:lineRule="auto"/>
        <w:rPr>
          <w:rFonts w:hint="eastAsia" w:asciiTheme="minorEastAsia" w:hAnsiTheme="minorEastAsia" w:eastAsiaTheme="minorEastAsia" w:cstheme="minorEastAsia"/>
          <w:spacing w:val="0"/>
          <w:position w:val="0"/>
          <w:highlight w:val="none"/>
        </w:rPr>
      </w:pPr>
    </w:p>
    <w:p w14:paraId="477A0033">
      <w:pPr>
        <w:pStyle w:val="6"/>
        <w:shd w:val="clear"/>
        <w:spacing w:line="360" w:lineRule="auto"/>
        <w:rPr>
          <w:rFonts w:hint="eastAsia" w:asciiTheme="minorEastAsia" w:hAnsiTheme="minorEastAsia" w:eastAsiaTheme="minorEastAsia" w:cstheme="minorEastAsia"/>
          <w:spacing w:val="0"/>
          <w:position w:val="0"/>
          <w:highlight w:val="none"/>
        </w:rPr>
      </w:pPr>
    </w:p>
    <w:p w14:paraId="229571E4">
      <w:pPr>
        <w:pStyle w:val="6"/>
        <w:shd w:val="clear"/>
        <w:spacing w:line="360" w:lineRule="auto"/>
        <w:rPr>
          <w:rFonts w:hint="eastAsia" w:asciiTheme="minorEastAsia" w:hAnsiTheme="minorEastAsia" w:eastAsiaTheme="minorEastAsia" w:cstheme="minorEastAsia"/>
          <w:spacing w:val="0"/>
          <w:position w:val="0"/>
          <w:highlight w:val="none"/>
        </w:rPr>
      </w:pPr>
    </w:p>
    <w:p w14:paraId="7B3026B8">
      <w:pPr>
        <w:pStyle w:val="6"/>
        <w:shd w:val="clear"/>
        <w:spacing w:line="360" w:lineRule="auto"/>
        <w:rPr>
          <w:rFonts w:hint="eastAsia" w:asciiTheme="minorEastAsia" w:hAnsiTheme="minorEastAsia" w:eastAsiaTheme="minorEastAsia" w:cstheme="minorEastAsia"/>
          <w:spacing w:val="0"/>
          <w:position w:val="0"/>
          <w:highlight w:val="none"/>
        </w:rPr>
      </w:pPr>
    </w:p>
    <w:p w14:paraId="32D0A4E5">
      <w:pPr>
        <w:pStyle w:val="6"/>
        <w:shd w:val="clear"/>
        <w:spacing w:line="360" w:lineRule="auto"/>
        <w:rPr>
          <w:rFonts w:hint="eastAsia" w:asciiTheme="minorEastAsia" w:hAnsiTheme="minorEastAsia" w:eastAsiaTheme="minorEastAsia" w:cstheme="minorEastAsia"/>
          <w:spacing w:val="0"/>
          <w:position w:val="0"/>
          <w:highlight w:val="none"/>
        </w:rPr>
      </w:pPr>
    </w:p>
    <w:p w14:paraId="5BFC9FE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BA874A0">
      <w:pPr>
        <w:shd w:val="clear"/>
        <w:spacing w:before="113"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项目名称：</w:t>
      </w:r>
    </w:p>
    <w:p w14:paraId="2C0D220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D4E985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261DB8">
      <w:pPr>
        <w:shd w:val="clear"/>
        <w:spacing w:before="113" w:line="360" w:lineRule="auto"/>
        <w:ind w:left="1104"/>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标段名称：</w:t>
      </w:r>
    </w:p>
    <w:p w14:paraId="2BD8042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49B036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3D9D8B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C60BECA">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项目编号：</w:t>
      </w:r>
    </w:p>
    <w:p w14:paraId="68543B5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8A45AF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AE3AC1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4D7C81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848111D">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5301494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8A4BC4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D5775B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65970B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DCBA33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407AD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49AC94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388C2EC">
      <w:pPr>
        <w:shd w:val="clear"/>
        <w:spacing w:before="114" w:line="360" w:lineRule="auto"/>
        <w:ind w:left="2866"/>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二〇二</w:t>
      </w:r>
      <w:r>
        <w:rPr>
          <w:rFonts w:hint="eastAsia" w:asciiTheme="minorEastAsia" w:hAnsiTheme="minorEastAsia" w:eastAsiaTheme="minorEastAsia" w:cstheme="minorEastAsia"/>
          <w:b/>
          <w:bCs/>
          <w:spacing w:val="0"/>
          <w:position w:val="0"/>
          <w:sz w:val="24"/>
          <w:szCs w:val="24"/>
          <w:highlight w:val="none"/>
          <w:lang w:val="en-US" w:eastAsia="zh-CN"/>
        </w:rPr>
        <w:t>六</w:t>
      </w:r>
      <w:r>
        <w:rPr>
          <w:rFonts w:hint="eastAsia" w:asciiTheme="minorEastAsia" w:hAnsiTheme="minorEastAsia" w:eastAsiaTheme="minorEastAsia" w:cstheme="minorEastAsia"/>
          <w:b/>
          <w:bCs/>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日</w:t>
      </w:r>
    </w:p>
    <w:p w14:paraId="062EA8F3">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4" w:type="default"/>
          <w:footerReference r:id="rId15" w:type="default"/>
          <w:pgSz w:w="11906" w:h="16839"/>
          <w:pgMar w:top="1440" w:right="1080" w:bottom="1440" w:left="1080" w:header="866" w:footer="994" w:gutter="0"/>
          <w:pgNumType w:fmt="decimal"/>
          <w:cols w:space="720" w:num="1"/>
        </w:sectPr>
      </w:pPr>
    </w:p>
    <w:p w14:paraId="72C1E97C">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尊敬的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73667EAB">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请按照以下文件的格式要求、内容、顺序制作投标文件，并请编制目录及页码，否则可能将影响对投标文件的评价。</w:t>
      </w:r>
    </w:p>
    <w:p w14:paraId="5012C397">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投标文件格式中所有要求签字和盖章的部分，电子投标文件中需加盖电子签章。</w:t>
      </w:r>
    </w:p>
    <w:p w14:paraId="6D9BEE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p>
    <w:p w14:paraId="739301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sectPr>
          <w:footerReference r:id="rId16" w:type="default"/>
          <w:pgSz w:w="11906" w:h="16839"/>
          <w:pgMar w:top="1273" w:right="1134" w:bottom="1156" w:left="1134" w:header="866" w:footer="994" w:gutter="0"/>
          <w:pgNumType w:fmt="decimal"/>
          <w:cols w:space="720" w:num="1"/>
        </w:sectPr>
      </w:pPr>
    </w:p>
    <w:p w14:paraId="37425E2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194" w:name="_Toc18801"/>
      <w:r>
        <w:rPr>
          <w:rFonts w:hint="eastAsia" w:asciiTheme="minorEastAsia" w:hAnsiTheme="minorEastAsia" w:eastAsiaTheme="minorEastAsia" w:cstheme="minorEastAsia"/>
          <w:b/>
          <w:bCs/>
          <w:spacing w:val="0"/>
          <w:position w:val="0"/>
          <w:sz w:val="24"/>
          <w:szCs w:val="24"/>
          <w:highlight w:val="none"/>
          <w:lang w:val="en-US" w:eastAsia="zh-CN"/>
        </w:rPr>
        <w:t>一、投标函</w:t>
      </w:r>
      <w:bookmarkEnd w:id="194"/>
    </w:p>
    <w:p w14:paraId="08AB10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致：（采购人）</w:t>
      </w:r>
    </w:p>
    <w:p w14:paraId="11683B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关于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pacing w:val="0"/>
          <w:position w:val="0"/>
          <w:sz w:val="24"/>
          <w:szCs w:val="24"/>
          <w:highlight w:val="none"/>
          <w:u w:val="single"/>
          <w:lang w:val="en-US" w:eastAsia="zh-CN"/>
        </w:rPr>
        <w:t>（姓名和职务）</w:t>
      </w:r>
      <w:r>
        <w:rPr>
          <w:rFonts w:hint="eastAsia" w:asciiTheme="minorEastAsia" w:hAnsiTheme="minorEastAsia" w:eastAsiaTheme="minorEastAsia" w:cstheme="minorEastAsia"/>
          <w:spacing w:val="0"/>
          <w:position w:val="0"/>
          <w:sz w:val="24"/>
          <w:szCs w:val="24"/>
          <w:highlight w:val="none"/>
          <w:lang w:val="en-US" w:eastAsia="zh-CN"/>
        </w:rPr>
        <w:t>代表</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，全权处理本次项目投标的有关事宜。</w:t>
      </w:r>
    </w:p>
    <w:p w14:paraId="63A36F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1、按招标文件规定的各项要求，我方愿以投标报价为人民币（大写：</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元）的投标总报价。</w:t>
      </w:r>
      <w:r>
        <w:rPr>
          <w:rFonts w:hint="eastAsia" w:asciiTheme="minorEastAsia" w:hAnsiTheme="minorEastAsia" w:eastAsiaTheme="minorEastAsia" w:cstheme="minorEastAsia"/>
          <w:b w:val="0"/>
          <w:bCs w:val="0"/>
          <w:spacing w:val="0"/>
          <w:position w:val="0"/>
          <w:sz w:val="24"/>
          <w:szCs w:val="24"/>
          <w:highlight w:val="none"/>
          <w:lang w:val="en-US" w:eastAsia="zh-CN"/>
        </w:rPr>
        <w:t>免费质保期</w:t>
      </w:r>
      <w:r>
        <w:rPr>
          <w:rFonts w:hint="eastAsia" w:asciiTheme="minorEastAsia" w:hAnsiTheme="minorEastAsia" w:eastAsiaTheme="minorEastAsia" w:cstheme="minorEastAsia"/>
          <w:b w:val="0"/>
          <w:bCs w:val="0"/>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b w:val="0"/>
          <w:bCs w:val="0"/>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lang w:val="en-US" w:eastAsia="zh-CN"/>
        </w:rPr>
        <w:t>。</w:t>
      </w:r>
    </w:p>
    <w:p w14:paraId="54ABE6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2、我们接受招标文件的所有条款和规定。</w:t>
      </w:r>
    </w:p>
    <w:p w14:paraId="2095E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4、我们已详细审查全部招标文件，包括补充文件（如果有的话）。我们完全理解并同意放弃对这方面有不明及误解的权力。</w:t>
      </w:r>
    </w:p>
    <w:p w14:paraId="2D9E21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5、我们同意向贵方提供贵方可能要求的与投标有关的任何证据或资料，并保证所提供的都是真实的、准确的。</w:t>
      </w:r>
    </w:p>
    <w:p w14:paraId="7743A1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6、我们愿意遵守投标文件中所列的收费标准。</w:t>
      </w:r>
    </w:p>
    <w:p w14:paraId="2AA946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7、我们承诺该投标文件在被接收后至合同履行结束并通过项目验收的全过程中保持有效，不做任何更改和变动。</w:t>
      </w:r>
    </w:p>
    <w:p w14:paraId="3060693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EC9D8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投标人名称（电子签章）：</w:t>
      </w:r>
    </w:p>
    <w:p w14:paraId="6B93BB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法定代表人（委托受托人）签字：</w:t>
      </w:r>
    </w:p>
    <w:p w14:paraId="1F28C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7BDEA4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3AC59D2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邮编：</w:t>
      </w:r>
    </w:p>
    <w:p w14:paraId="0EC62D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电话：</w:t>
      </w:r>
    </w:p>
    <w:p w14:paraId="0DAF9B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传真： </w:t>
      </w:r>
    </w:p>
    <w:p w14:paraId="40951A6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103F4CC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195" w:name="_Toc15789"/>
      <w:r>
        <w:rPr>
          <w:rFonts w:hint="eastAsia" w:asciiTheme="minorEastAsia" w:hAnsiTheme="minorEastAsia" w:eastAsiaTheme="minorEastAsia" w:cstheme="minorEastAsia"/>
          <w:b/>
          <w:bCs/>
          <w:spacing w:val="0"/>
          <w:position w:val="0"/>
          <w:sz w:val="24"/>
          <w:szCs w:val="24"/>
          <w:highlight w:val="none"/>
          <w:lang w:val="en-US" w:eastAsia="zh-CN"/>
        </w:rPr>
        <w:t>二、开标一览表</w:t>
      </w:r>
      <w:bookmarkEnd w:id="195"/>
    </w:p>
    <w:tbl>
      <w:tblPr>
        <w:tblStyle w:val="12"/>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p w14:paraId="53922125">
            <w:pPr>
              <w:shd w:val="clear"/>
              <w:spacing w:line="360" w:lineRule="auto"/>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及标段</w:t>
            </w:r>
          </w:p>
        </w:tc>
        <w:tc>
          <w:tcPr>
            <w:tcW w:w="7585" w:type="dxa"/>
            <w:vAlign w:val="center"/>
          </w:tcPr>
          <w:p w14:paraId="48C9A916">
            <w:pPr>
              <w:shd w:val="clear"/>
              <w:spacing w:line="360" w:lineRule="auto"/>
              <w:jc w:val="center"/>
              <w:rPr>
                <w:rFonts w:hint="eastAsia" w:asciiTheme="minorEastAsia" w:hAnsiTheme="minorEastAsia" w:eastAsiaTheme="minorEastAsia" w:cstheme="minorEastAsia"/>
                <w:color w:val="auto"/>
                <w:sz w:val="24"/>
                <w:szCs w:val="24"/>
                <w:highlight w:val="none"/>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投标报</w:t>
            </w:r>
          </w:p>
          <w:p w14:paraId="1986D79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价总计</w:t>
            </w:r>
          </w:p>
        </w:tc>
        <w:tc>
          <w:tcPr>
            <w:tcW w:w="7585" w:type="dxa"/>
            <w:vAlign w:val="center"/>
          </w:tcPr>
          <w:p w14:paraId="2B694B5E">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（小写）¥</w:t>
            </w:r>
          </w:p>
          <w:p w14:paraId="555A38B3">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hd w:val="clear"/>
              <w:spacing w:line="360" w:lineRule="auto"/>
              <w:ind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时间</w:t>
            </w:r>
          </w:p>
        </w:tc>
        <w:tc>
          <w:tcPr>
            <w:tcW w:w="7585" w:type="dxa"/>
            <w:vAlign w:val="center"/>
          </w:tcPr>
          <w:p w14:paraId="6F39804C">
            <w:pPr>
              <w:shd w:val="clear"/>
              <w:spacing w:line="360" w:lineRule="auto"/>
              <w:ind w:firstLine="1440" w:firstLineChars="6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按招标文件要求执行。</w:t>
            </w:r>
          </w:p>
        </w:tc>
      </w:tr>
    </w:tbl>
    <w:p w14:paraId="505E7AA2">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p>
    <w:p w14:paraId="2D67CA40">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65F0BDA6">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D9CB9B0">
      <w:pPr>
        <w:shd w:val="clea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注</w:t>
      </w:r>
      <w:r>
        <w:rPr>
          <w:rFonts w:hint="eastAsia" w:asciiTheme="minorEastAsia" w:hAnsiTheme="minorEastAsia" w:eastAsiaTheme="minorEastAsia" w:cstheme="minorEastAsia"/>
          <w:color w:val="auto"/>
          <w:sz w:val="24"/>
          <w:szCs w:val="24"/>
          <w:highlight w:val="none"/>
          <w:lang w:eastAsia="zh-CN"/>
        </w:rPr>
        <w:t>：</w:t>
      </w:r>
    </w:p>
    <w:p w14:paraId="06D0175A">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（1）投标报价总计为</w:t>
      </w:r>
      <w:r>
        <w:rPr>
          <w:rFonts w:hint="eastAsia" w:asciiTheme="minorEastAsia" w:hAnsiTheme="minorEastAsia" w:eastAsiaTheme="minorEastAsia" w:cstheme="minorEastAsia"/>
          <w:color w:val="auto"/>
          <w:sz w:val="24"/>
          <w:szCs w:val="24"/>
          <w:highlight w:val="none"/>
          <w:lang w:val="en-US" w:eastAsia="zh-CN"/>
        </w:rPr>
        <w:t>招标</w:t>
      </w:r>
      <w:r>
        <w:rPr>
          <w:rFonts w:hint="eastAsia" w:asciiTheme="minorEastAsia" w:hAnsiTheme="minorEastAsia" w:eastAsiaTheme="minorEastAsia" w:cstheme="minorEastAsia"/>
          <w:color w:val="auto"/>
          <w:sz w:val="24"/>
          <w:szCs w:val="24"/>
          <w:highlight w:val="none"/>
        </w:rPr>
        <w:t>文件第二章第1</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条所述内容。</w:t>
      </w:r>
    </w:p>
    <w:p w14:paraId="689F5FB4">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开标一览表</w:t>
      </w:r>
      <w:r>
        <w:rPr>
          <w:rFonts w:hint="eastAsia" w:asciiTheme="minorEastAsia" w:hAnsiTheme="minorEastAsia" w:eastAsiaTheme="minorEastAsia" w:cstheme="minorEastAsia"/>
          <w:color w:val="auto"/>
          <w:sz w:val="24"/>
          <w:szCs w:val="24"/>
          <w:highlight w:val="none"/>
        </w:rPr>
        <w:t>格式不得自行改动。</w:t>
      </w:r>
      <w:bookmarkStart w:id="196" w:name="_Toc157775459"/>
      <w:bookmarkStart w:id="197" w:name="_Toc136924766"/>
    </w:p>
    <w:bookmarkEnd w:id="196"/>
    <w:bookmarkEnd w:id="197"/>
    <w:p w14:paraId="45D1E1D6">
      <w:pPr>
        <w:shd w:val="clear"/>
        <w:spacing w:line="360" w:lineRule="auto"/>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4A2DC03E">
      <w:pPr>
        <w:keepNext w:val="0"/>
        <w:keepLines w:val="0"/>
        <w:pageBreakBefore w:val="0"/>
        <w:widowControl w:val="0"/>
        <w:numPr>
          <w:ilvl w:val="0"/>
          <w:numId w:val="4"/>
        </w:numPr>
        <w:shd w:val="clear"/>
        <w:kinsoku/>
        <w:wordWrap/>
        <w:overflowPunct/>
        <w:topLinePunct w:val="0"/>
        <w:autoSpaceDE/>
        <w:autoSpaceDN/>
        <w:bidi w:val="0"/>
        <w:adjustRightInd w:val="0"/>
        <w:snapToGrid w:val="0"/>
        <w:spacing w:line="360" w:lineRule="auto"/>
        <w:ind w:right="0"/>
        <w:jc w:val="center"/>
        <w:textAlignment w:val="baseline"/>
        <w:outlineLvl w:val="1"/>
        <w:rPr>
          <w:rFonts w:hint="default" w:asciiTheme="minorEastAsia" w:hAnsiTheme="minorEastAsia" w:eastAsiaTheme="minorEastAsia" w:cstheme="minorEastAsia"/>
          <w:b/>
          <w:bCs/>
          <w:spacing w:val="0"/>
          <w:position w:val="0"/>
          <w:sz w:val="24"/>
          <w:szCs w:val="24"/>
          <w:highlight w:val="none"/>
          <w:lang w:val="en-US" w:eastAsia="zh-CN"/>
        </w:rPr>
      </w:pPr>
      <w:bookmarkStart w:id="198" w:name="_Toc3348"/>
      <w:r>
        <w:rPr>
          <w:rFonts w:hint="eastAsia" w:asciiTheme="minorEastAsia" w:hAnsiTheme="minorEastAsia" w:eastAsiaTheme="minorEastAsia" w:cstheme="minorEastAsia"/>
          <w:b/>
          <w:bCs/>
          <w:spacing w:val="0"/>
          <w:position w:val="0"/>
          <w:sz w:val="24"/>
          <w:szCs w:val="24"/>
          <w:highlight w:val="none"/>
          <w:lang w:val="en-US" w:eastAsia="zh-CN"/>
        </w:rPr>
        <w:t>报价明细表</w:t>
      </w:r>
      <w:bookmarkEnd w:id="198"/>
      <w:r>
        <w:rPr>
          <w:rFonts w:hint="eastAsia" w:asciiTheme="minorEastAsia" w:hAnsiTheme="minorEastAsia" w:eastAsiaTheme="minorEastAsia" w:cstheme="minorEastAsia"/>
          <w:b/>
          <w:bCs/>
          <w:spacing w:val="0"/>
          <w:position w:val="0"/>
          <w:sz w:val="24"/>
          <w:szCs w:val="24"/>
          <w:highlight w:val="none"/>
          <w:lang w:val="en-US" w:eastAsia="zh-CN"/>
        </w:rPr>
        <w:t xml:space="preserve"> </w:t>
      </w:r>
    </w:p>
    <w:p w14:paraId="729E4AC0">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jc w:val="both"/>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p>
    <w:tbl>
      <w:tblPr>
        <w:tblStyle w:val="17"/>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2"/>
        <w:gridCol w:w="1852"/>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1854" w:type="dxa"/>
            <w:gridSpan w:val="2"/>
            <w:vAlign w:val="center"/>
          </w:tcPr>
          <w:p w14:paraId="50E4766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设备名称</w:t>
            </w:r>
          </w:p>
        </w:tc>
        <w:tc>
          <w:tcPr>
            <w:tcW w:w="1362" w:type="dxa"/>
            <w:vAlign w:val="center"/>
          </w:tcPr>
          <w:p w14:paraId="7C53D65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品牌型号</w:t>
            </w:r>
          </w:p>
        </w:tc>
        <w:tc>
          <w:tcPr>
            <w:tcW w:w="1105" w:type="dxa"/>
            <w:vAlign w:val="center"/>
          </w:tcPr>
          <w:p w14:paraId="243919B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规格参数</w:t>
            </w:r>
          </w:p>
        </w:tc>
        <w:tc>
          <w:tcPr>
            <w:tcW w:w="694" w:type="dxa"/>
            <w:vAlign w:val="center"/>
          </w:tcPr>
          <w:p w14:paraId="47BB85C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单位</w:t>
            </w:r>
          </w:p>
        </w:tc>
        <w:tc>
          <w:tcPr>
            <w:tcW w:w="660" w:type="dxa"/>
            <w:vAlign w:val="center"/>
          </w:tcPr>
          <w:p w14:paraId="3F07A8A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38" w:type="dxa"/>
            <w:vAlign w:val="center"/>
          </w:tcPr>
          <w:p w14:paraId="092FE20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单价（元）</w:t>
            </w:r>
          </w:p>
        </w:tc>
        <w:tc>
          <w:tcPr>
            <w:tcW w:w="1004" w:type="dxa"/>
            <w:vAlign w:val="center"/>
          </w:tcPr>
          <w:p w14:paraId="6B3EF6B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小计（元）</w:t>
            </w:r>
          </w:p>
        </w:tc>
        <w:tc>
          <w:tcPr>
            <w:tcW w:w="721" w:type="dxa"/>
            <w:vAlign w:val="center"/>
          </w:tcPr>
          <w:p w14:paraId="714D350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生产厂商</w:t>
            </w:r>
          </w:p>
        </w:tc>
        <w:tc>
          <w:tcPr>
            <w:tcW w:w="825" w:type="dxa"/>
            <w:vAlign w:val="center"/>
          </w:tcPr>
          <w:p w14:paraId="431391C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18D1F02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p>
        </w:tc>
        <w:tc>
          <w:tcPr>
            <w:tcW w:w="1854" w:type="dxa"/>
            <w:gridSpan w:val="2"/>
            <w:vAlign w:val="center"/>
          </w:tcPr>
          <w:p w14:paraId="2E1EE3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0B6908B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34F843A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373403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B3EE1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373491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7ED6BDDD">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6AB6D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D98A29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275EC3A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p>
        </w:tc>
        <w:tc>
          <w:tcPr>
            <w:tcW w:w="1854" w:type="dxa"/>
            <w:gridSpan w:val="2"/>
            <w:vAlign w:val="center"/>
          </w:tcPr>
          <w:p w14:paraId="3C2A427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71B439A4">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59680FF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40FCEC8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006EC3A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2BFEBBA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0D0B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5223DF4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5D369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888979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p>
        </w:tc>
        <w:tc>
          <w:tcPr>
            <w:tcW w:w="1854" w:type="dxa"/>
            <w:gridSpan w:val="2"/>
            <w:vAlign w:val="center"/>
          </w:tcPr>
          <w:p w14:paraId="231F60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2D3C816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4E86301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2526853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4F3D24F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7202F28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6719EC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0C3F5C8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B5A33D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7E0CF5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w:t>
            </w:r>
          </w:p>
        </w:tc>
        <w:tc>
          <w:tcPr>
            <w:tcW w:w="1854" w:type="dxa"/>
            <w:gridSpan w:val="2"/>
            <w:vAlign w:val="center"/>
          </w:tcPr>
          <w:p w14:paraId="0ABE2D8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5B1CE9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6BC8EC9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132DFFC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69034A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04D1835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94DC251">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3B5F138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9DFC93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gridSpan w:val="2"/>
            <w:vAlign w:val="center"/>
          </w:tcPr>
          <w:p w14:paraId="34D4598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tc>
        <w:tc>
          <w:tcPr>
            <w:tcW w:w="9361" w:type="dxa"/>
            <w:gridSpan w:val="9"/>
            <w:vAlign w:val="center"/>
          </w:tcPr>
          <w:p w14:paraId="490DA09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047C51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合计：大写人民币</w:t>
            </w:r>
          </w:p>
          <w:p w14:paraId="597F57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 xml:space="preserve">  </w:t>
            </w:r>
            <w:r>
              <w:rPr>
                <w:rFonts w:hint="eastAsia" w:asciiTheme="minorEastAsia" w:hAnsiTheme="minorEastAsia" w:eastAsiaTheme="minorEastAsia" w:cstheme="minorEastAsia"/>
                <w:spacing w:val="0"/>
                <w:position w:val="0"/>
                <w:sz w:val="24"/>
                <w:szCs w:val="24"/>
                <w:highlight w:val="none"/>
              </w:rPr>
              <w:t>小写(¥)</w:t>
            </w:r>
          </w:p>
        </w:tc>
      </w:tr>
    </w:tbl>
    <w:p w14:paraId="689F9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w:t>
      </w:r>
    </w:p>
    <w:p w14:paraId="15DDF82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（1）以上价格包含人工费、材料费、运费、包装、利润、税金、招标代理服务费等全部费用</w:t>
      </w:r>
    </w:p>
    <w:p w14:paraId="692CCF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（2）结算款=本表中单价×实际采购数量</w:t>
      </w:r>
    </w:p>
    <w:p w14:paraId="070B15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（3）以上报价明细表不可缺项漏项，如因缺项漏项导致的一切后果由投标人自行承担。</w:t>
      </w:r>
    </w:p>
    <w:p w14:paraId="74613D1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E30D87E">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2A354AF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F6C48AD">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419C2BD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sectPr>
          <w:headerReference r:id="rId19" w:type="default"/>
          <w:footerReference r:id="rId20" w:type="default"/>
          <w:pgSz w:w="11906" w:h="16839"/>
          <w:pgMar w:top="1440" w:right="1080" w:bottom="1440" w:left="1080" w:header="866" w:footer="994" w:gutter="0"/>
          <w:pgNumType w:fmt="decimal"/>
          <w:cols w:space="720" w:num="1"/>
        </w:sectPr>
      </w:pPr>
    </w:p>
    <w:p w14:paraId="2775493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199" w:name="_Toc28793"/>
      <w:r>
        <w:rPr>
          <w:rFonts w:hint="eastAsia" w:asciiTheme="minorEastAsia" w:hAnsiTheme="minorEastAsia" w:eastAsiaTheme="minorEastAsia" w:cstheme="minorEastAsia"/>
          <w:b/>
          <w:bCs/>
          <w:spacing w:val="0"/>
          <w:position w:val="0"/>
          <w:sz w:val="24"/>
          <w:szCs w:val="24"/>
          <w:highlight w:val="none"/>
          <w:lang w:val="en-US" w:eastAsia="zh-CN"/>
        </w:rPr>
        <w:t>四、技术要求响应偏离表</w:t>
      </w:r>
      <w:bookmarkEnd w:id="199"/>
    </w:p>
    <w:tbl>
      <w:tblPr>
        <w:tblStyle w:val="17"/>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3235" w:type="dxa"/>
            <w:vAlign w:val="center"/>
          </w:tcPr>
          <w:p w14:paraId="70160A0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项目采购需求中</w:t>
            </w:r>
          </w:p>
          <w:p w14:paraId="49A8A0D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主要技术条款描述</w:t>
            </w:r>
          </w:p>
        </w:tc>
        <w:tc>
          <w:tcPr>
            <w:tcW w:w="2345" w:type="dxa"/>
            <w:vAlign w:val="center"/>
          </w:tcPr>
          <w:p w14:paraId="6FE313B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所投产品规格、型号及相应技术参数描述</w:t>
            </w:r>
          </w:p>
        </w:tc>
        <w:tc>
          <w:tcPr>
            <w:tcW w:w="1079" w:type="dxa"/>
            <w:vAlign w:val="center"/>
          </w:tcPr>
          <w:p w14:paraId="781B53B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偏离情况</w:t>
            </w:r>
          </w:p>
        </w:tc>
        <w:tc>
          <w:tcPr>
            <w:tcW w:w="1078" w:type="dxa"/>
            <w:vAlign w:val="center"/>
          </w:tcPr>
          <w:p w14:paraId="020E4F4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7E302C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58AAA7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CB460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D53050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6991C6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E44B0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3637F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603EAC1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58F83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0A362F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4D09D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6DBA3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C72D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33EB6D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0BF77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27022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6A909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7DA047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74F228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10C754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275CA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249B08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ABAC2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A78E5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E3F0F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674A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463B2C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C42D2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0AB43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92647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D96B09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305A4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bl>
    <w:p w14:paraId="226F5A2F">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2C914D18">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C1F4CB9">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5EA3143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注：（1）此表为表样，行数可自行添加，但表式不变。</w:t>
      </w:r>
    </w:p>
    <w:p w14:paraId="7F1ED0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（2）是否偏离用符号“+、=、-”分别表示正偏离、完全响应、负偏离。</w:t>
      </w:r>
    </w:p>
    <w:p w14:paraId="0BFF3C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1" w:type="default"/>
          <w:footerReference r:id="rId22" w:type="default"/>
          <w:pgSz w:w="11906" w:h="16839"/>
          <w:pgMar w:top="1440" w:right="1080" w:bottom="1440" w:left="1080" w:header="866" w:footer="994" w:gutter="0"/>
          <w:pgNumType w:fmt="decimal"/>
          <w:cols w:space="720" w:num="1"/>
        </w:sectPr>
      </w:pPr>
    </w:p>
    <w:p w14:paraId="5F6FE5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00" w:name="_Toc4014"/>
      <w:r>
        <w:rPr>
          <w:rFonts w:hint="eastAsia" w:asciiTheme="minorEastAsia" w:hAnsiTheme="minorEastAsia" w:eastAsiaTheme="minorEastAsia" w:cstheme="minorEastAsia"/>
          <w:b/>
          <w:bCs/>
          <w:spacing w:val="0"/>
          <w:position w:val="0"/>
          <w:sz w:val="24"/>
          <w:szCs w:val="24"/>
          <w:highlight w:val="none"/>
          <w:lang w:val="en-US" w:eastAsia="zh-CN"/>
        </w:rPr>
        <w:t>五、服务承诺</w:t>
      </w:r>
      <w:bookmarkEnd w:id="200"/>
    </w:p>
    <w:p w14:paraId="596E8F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6BD8026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23" w:type="default"/>
          <w:pgSz w:w="11906" w:h="16839"/>
          <w:pgMar w:top="1440" w:right="1080" w:bottom="1440" w:left="1080" w:header="866" w:footer="994" w:gutter="0"/>
          <w:pgNumType w:fmt="decimal"/>
          <w:cols w:space="720" w:num="1"/>
        </w:sectPr>
      </w:pPr>
    </w:p>
    <w:p w14:paraId="262AB99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01" w:name="_Toc23382"/>
      <w:r>
        <w:rPr>
          <w:rFonts w:hint="eastAsia" w:asciiTheme="minorEastAsia" w:hAnsiTheme="minorEastAsia" w:eastAsiaTheme="minorEastAsia" w:cstheme="minorEastAsia"/>
          <w:b/>
          <w:bCs/>
          <w:spacing w:val="0"/>
          <w:position w:val="0"/>
          <w:sz w:val="24"/>
          <w:szCs w:val="24"/>
          <w:highlight w:val="none"/>
          <w:lang w:val="en-US" w:eastAsia="zh-CN"/>
        </w:rPr>
        <w:t>六、资质审查时投标人必须提交的资格证明文件</w:t>
      </w:r>
      <w:bookmarkEnd w:id="201"/>
    </w:p>
    <w:p w14:paraId="0F4764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1.提供下列材料之一：</w:t>
      </w:r>
    </w:p>
    <w:p w14:paraId="55C1F3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（1）投标人提供法定代表人资格证明</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（原件、必须提供，格式详见第示范格式一）</w:t>
      </w:r>
      <w:r>
        <w:rPr>
          <w:rFonts w:hint="eastAsia" w:asciiTheme="minorEastAsia" w:hAnsiTheme="minorEastAsia" w:eastAsiaTheme="minorEastAsia" w:cstheme="minorEastAsia"/>
          <w:spacing w:val="0"/>
          <w:position w:val="0"/>
          <w:sz w:val="24"/>
          <w:szCs w:val="24"/>
          <w:highlight w:val="none"/>
          <w:lang w:val="en-US" w:eastAsia="zh-CN"/>
        </w:rPr>
        <w:t>和法定代表人身份证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61F4873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（2）投标人提供授权委托书</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（原件、必须提供，格式详见示范格式二）</w:t>
      </w:r>
      <w:r>
        <w:rPr>
          <w:rFonts w:hint="eastAsia" w:asciiTheme="minorEastAsia" w:hAnsiTheme="minorEastAsia" w:eastAsiaTheme="minorEastAsia" w:cstheme="minorEastAsia"/>
          <w:spacing w:val="0"/>
          <w:position w:val="0"/>
          <w:sz w:val="24"/>
          <w:szCs w:val="24"/>
          <w:highlight w:val="none"/>
          <w:lang w:val="en-US" w:eastAsia="zh-CN"/>
        </w:rPr>
        <w:t>和受托人身份证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0E2FDA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2.投标人提供下列材料之一：</w:t>
      </w:r>
    </w:p>
    <w:p w14:paraId="6E0AA0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A.投标人为企业的：</w:t>
      </w:r>
    </w:p>
    <w:p w14:paraId="29FAC9D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提供营业执照（三证合一）</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p>
    <w:p w14:paraId="3CFDF2B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B.投标人为事业单位的：</w:t>
      </w:r>
    </w:p>
    <w:p w14:paraId="5E77722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提供事业法人证书</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773C86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3.投标人符合《政府采购法》第二十二条规定条件的承诺函（格式详见示范格式三）。</w:t>
      </w:r>
    </w:p>
    <w:p w14:paraId="45E505F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4.采购人根据采购项目的特殊要求，规定投标人还须具备的特定条件：</w:t>
      </w:r>
    </w:p>
    <w:p w14:paraId="7C5571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（1）投标人所投医疗器械产品必须要有有效期内的医疗器械注册证；（扫描件加盖投标人电子签章）</w:t>
      </w:r>
    </w:p>
    <w:p w14:paraId="6A406F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（2））若投标供应商为代理商，须具有有效的《医疗器械经营许可证》或医疗器械经营备案凭证；（扫描件加盖投标人电子签章）</w:t>
      </w:r>
    </w:p>
    <w:p w14:paraId="7DE2CB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（3）投标人提供参加投标的授权委托人必须为本单位注册在职员工，并提供近6个月内任意一个月在本单位缴纳社保的证明。（扫描件加盖投标人电子签章）</w:t>
      </w:r>
    </w:p>
    <w:p w14:paraId="7209BD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5.拒绝符合下述投标人条件的参加本次采购活动：</w:t>
      </w:r>
      <w:r>
        <w:rPr>
          <w:rFonts w:hint="eastAsia" w:asciiTheme="minorEastAsia" w:hAnsiTheme="minorEastAsia" w:eastAsiaTheme="minorEastAsia" w:cstheme="minorEastAsia"/>
          <w:b/>
          <w:bCs/>
          <w:spacing w:val="0"/>
          <w:position w:val="0"/>
          <w:sz w:val="24"/>
          <w:szCs w:val="24"/>
          <w:highlight w:val="none"/>
          <w:lang w:val="en-US" w:eastAsia="zh-CN"/>
        </w:rPr>
        <w:t>（提供书面承诺原件加盖投标人电子签章）</w:t>
      </w:r>
    </w:p>
    <w:p w14:paraId="331605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（1）投标人单位负责人为同一人或者存在直接控股、管理关系的不同投标人，同时参加同一合同项下的政府采购活动。</w:t>
      </w:r>
    </w:p>
    <w:p w14:paraId="63538A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（2）凡为采购项目提供规范编制或者项目管理、监理、检测等服务的投标人，不得参加本项目的采购活动。</w:t>
      </w:r>
    </w:p>
    <w:p w14:paraId="3E52E6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（3）投标人被“信用中国”网站、“中国政府采购网”列入失信被执行人、重大税收违法案件当事人名单、政府采购严重违法失信行为记录名单。</w:t>
      </w:r>
    </w:p>
    <w:p w14:paraId="559ABF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7.本次项目不接受联合体投标人参加投标。（未见联合体即可）</w:t>
      </w:r>
    </w:p>
    <w:p w14:paraId="221B39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注：</w:t>
      </w:r>
    </w:p>
    <w:p w14:paraId="68019A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1、上述相关原件，中标人必须在签订合同时提交采购人审查，中标投标人未能提供上述所有原件的，则取消其中标资格。</w:t>
      </w:r>
    </w:p>
    <w:p w14:paraId="3ED558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2、上述是在对投标人资质审查时，投标人所必须提供的资格证明文件，如投标人未能提供上述资格证明文件以及发现投标人的资质条件不符合招标文件要求，可随时取消其投标或中标资格。</w:t>
      </w:r>
    </w:p>
    <w:p w14:paraId="139762B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4629AE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5B5B41E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02" w:name="_Toc11318"/>
      <w:r>
        <w:rPr>
          <w:rFonts w:hint="eastAsia" w:asciiTheme="minorEastAsia" w:hAnsiTheme="minorEastAsia" w:eastAsiaTheme="minorEastAsia" w:cstheme="minorEastAsia"/>
          <w:b/>
          <w:bCs/>
          <w:spacing w:val="0"/>
          <w:position w:val="0"/>
          <w:sz w:val="24"/>
          <w:szCs w:val="24"/>
          <w:highlight w:val="none"/>
          <w:lang w:val="en-US" w:eastAsia="zh-CN"/>
        </w:rPr>
        <w:t>七、涉及无效投标文件条款中投标人必须提供的证明文件</w:t>
      </w:r>
      <w:bookmarkEnd w:id="202"/>
    </w:p>
    <w:p w14:paraId="1B427FF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25C0BA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53986A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3241F2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3A2CAC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187B9A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357CD7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424182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DBEAFF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CD4819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829EA9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4D9EBB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99C833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FA5BF6">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A9EE2E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C0EE01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03" w:name="_Toc20223"/>
      <w:r>
        <w:rPr>
          <w:rFonts w:hint="eastAsia" w:asciiTheme="minorEastAsia" w:hAnsiTheme="minorEastAsia" w:eastAsiaTheme="minorEastAsia" w:cstheme="minorEastAsia"/>
          <w:b/>
          <w:bCs/>
          <w:spacing w:val="0"/>
          <w:position w:val="0"/>
          <w:sz w:val="24"/>
          <w:szCs w:val="24"/>
          <w:highlight w:val="none"/>
          <w:lang w:val="en-US" w:eastAsia="zh-CN"/>
        </w:rPr>
        <w:t>八、综合评分时投标人需提供的证明文件</w:t>
      </w:r>
      <w:bookmarkEnd w:id="203"/>
    </w:p>
    <w:p w14:paraId="56B0E2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（由投标人依据评分标准，自行准备。提供的与评分相关的所有证明材料扫描件上传到电子投标文件中并加盖投标人电子签章）</w:t>
      </w:r>
    </w:p>
    <w:p w14:paraId="4A0219A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A35034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BF00BF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AB4851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403D0C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230F88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795953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02E7FD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12925A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A2A66F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5C39E7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6B8765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C4B6356">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434990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9ECAB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04" w:name="_Toc21400"/>
      <w:r>
        <w:rPr>
          <w:rFonts w:hint="eastAsia" w:asciiTheme="minorEastAsia" w:hAnsiTheme="minorEastAsia" w:eastAsiaTheme="minorEastAsia" w:cstheme="minorEastAsia"/>
          <w:b/>
          <w:bCs/>
          <w:spacing w:val="0"/>
          <w:position w:val="0"/>
          <w:sz w:val="24"/>
          <w:szCs w:val="24"/>
          <w:highlight w:val="none"/>
          <w:lang w:val="en-US" w:eastAsia="zh-CN"/>
        </w:rPr>
        <w:t>九、投标人认为有必要提供并说明的其它资料</w:t>
      </w:r>
      <w:bookmarkEnd w:id="204"/>
    </w:p>
    <w:p w14:paraId="183D0ED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4D96BF0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2CA8BA5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05" w:name="_Toc14177"/>
      <w:r>
        <w:rPr>
          <w:rFonts w:hint="eastAsia" w:asciiTheme="minorEastAsia" w:hAnsiTheme="minorEastAsia" w:eastAsiaTheme="minorEastAsia" w:cstheme="minorEastAsia"/>
          <w:b/>
          <w:bCs/>
          <w:spacing w:val="0"/>
          <w:position w:val="0"/>
          <w:sz w:val="24"/>
          <w:szCs w:val="24"/>
          <w:highlight w:val="none"/>
          <w:lang w:val="en-US" w:eastAsia="zh-CN"/>
        </w:rPr>
        <w:t>十、示范格式</w:t>
      </w:r>
      <w:bookmarkEnd w:id="205"/>
    </w:p>
    <w:p w14:paraId="572405A4">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示范格式一</w:t>
      </w:r>
    </w:p>
    <w:p w14:paraId="3169857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法定代表人资格证明</w:t>
      </w:r>
    </w:p>
    <w:p w14:paraId="5F0C82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单位名称：</w:t>
      </w:r>
    </w:p>
    <w:p w14:paraId="4755A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5AFE90E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姓名：</w:t>
      </w:r>
    </w:p>
    <w:p w14:paraId="1A9232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性别：</w:t>
      </w:r>
    </w:p>
    <w:p w14:paraId="32095F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年龄：</w:t>
      </w:r>
    </w:p>
    <w:p w14:paraId="2B43983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56306A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系</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的法定代表人。为参与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，签署上述项目的投标文件、进行招标、签署合同和处理与之有关的一切事务。</w:t>
      </w:r>
    </w:p>
    <w:p w14:paraId="58FADE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1DAF98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FD980A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特此证明。</w:t>
      </w:r>
    </w:p>
    <w:p w14:paraId="401A5BA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65D8AC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E0F154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66966A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4CDBA0E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5476D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注：投标人法定代表人参加投标的，必须附法定代表人身份证扫描件加盖投标人电子签章。法定代表人授权其他人参加投标的，仅需填写“授权委托书”。</w:t>
      </w:r>
    </w:p>
    <w:p w14:paraId="168AAA00">
      <w:pPr>
        <w:shd w:val="clear"/>
        <w:spacing w:before="39" w:line="360" w:lineRule="auto"/>
        <w:rPr>
          <w:rFonts w:hint="eastAsia" w:asciiTheme="minorEastAsia" w:hAnsiTheme="minorEastAsia" w:eastAsiaTheme="minorEastAsia" w:cstheme="minorEastAsia"/>
          <w:spacing w:val="0"/>
          <w:position w:val="0"/>
          <w:sz w:val="24"/>
          <w:szCs w:val="24"/>
          <w:highlight w:val="none"/>
        </w:rPr>
      </w:pPr>
    </w:p>
    <w:p w14:paraId="311E1FAA">
      <w:pPr>
        <w:shd w:val="clear"/>
        <w:spacing w:before="38" w:line="360" w:lineRule="auto"/>
        <w:rPr>
          <w:rFonts w:hint="eastAsia" w:asciiTheme="minorEastAsia" w:hAnsiTheme="minorEastAsia" w:eastAsiaTheme="minorEastAsia" w:cstheme="minorEastAsia"/>
          <w:spacing w:val="0"/>
          <w:position w:val="0"/>
          <w:sz w:val="24"/>
          <w:szCs w:val="24"/>
          <w:highlight w:val="none"/>
        </w:rPr>
      </w:pPr>
    </w:p>
    <w:tbl>
      <w:tblPr>
        <w:tblStyle w:val="17"/>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32892DC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2E74AD0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法定代表人身份证复印件</w:t>
            </w:r>
          </w:p>
        </w:tc>
      </w:tr>
    </w:tbl>
    <w:p w14:paraId="5DC0F2E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A91F162">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28" w:type="default"/>
          <w:footerReference r:id="rId29" w:type="default"/>
          <w:pgSz w:w="11906" w:h="16839"/>
          <w:pgMar w:top="1440" w:right="1080" w:bottom="1440" w:left="1080" w:header="866" w:footer="994" w:gutter="0"/>
          <w:pgNumType w:fmt="decimal"/>
          <w:cols w:space="720" w:num="1"/>
        </w:sectPr>
      </w:pPr>
    </w:p>
    <w:p w14:paraId="2712186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示范格式二</w:t>
      </w:r>
    </w:p>
    <w:p w14:paraId="59CF909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授权委托书</w:t>
      </w:r>
    </w:p>
    <w:p w14:paraId="6C19B23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致：（采购人）：</w:t>
      </w:r>
    </w:p>
    <w:p w14:paraId="59F25C6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本授权书宣告：</w:t>
      </w:r>
    </w:p>
    <w:p w14:paraId="429F60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委托方：</w:t>
      </w:r>
    </w:p>
    <w:p w14:paraId="29F24E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1C1D82B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w:t>
      </w:r>
    </w:p>
    <w:p w14:paraId="1372A09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w:t>
      </w:r>
    </w:p>
    <w:p w14:paraId="4077ED4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姓名：        性别：    </w:t>
      </w:r>
    </w:p>
    <w:p w14:paraId="6CD819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出生日期：    年   月   日</w:t>
      </w:r>
    </w:p>
    <w:p w14:paraId="56181D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所在单位：                职务：</w:t>
      </w:r>
    </w:p>
    <w:p w14:paraId="750E12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身 份 证：                联系方式：</w:t>
      </w:r>
    </w:p>
    <w:p w14:paraId="62FF445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兹委托受托人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代表我公司参加江苏京立资产评估咨询有限公司组织的（项目编号：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 xml:space="preserve"> 的政府采购活动，受托人有权在该招标活动中，以我单位的名义签署投标函和投标文件，与采购中心协商、澄清、解释，签订合同书并执行一切与此有关的事项。</w:t>
      </w:r>
    </w:p>
    <w:p w14:paraId="0D65D64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受托人在办理上述事宜过程中以其自己的名义所签署的所有文件我公司均予以承认。受托人无转委托权。</w:t>
      </w:r>
    </w:p>
    <w:p w14:paraId="748A995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委托期限：至上述事宜处理完毕止。</w:t>
      </w:r>
    </w:p>
    <w:p w14:paraId="4486FA4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1795AB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29374D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11DCE8C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注：投标人委托受托人参加投标的，必须附受托人身份证扫描件加盖投标人电子签章。法定代表人直接参加投标的，仅需填写“法定代表人资格证明”。</w:t>
      </w:r>
    </w:p>
    <w:tbl>
      <w:tblPr>
        <w:tblStyle w:val="17"/>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3E5335B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3FA4BA8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委托代理人身份证复印件</w:t>
            </w:r>
          </w:p>
        </w:tc>
      </w:tr>
    </w:tbl>
    <w:p w14:paraId="234A1CB4">
      <w:pPr>
        <w:shd w:val="clear"/>
        <w:spacing w:line="360" w:lineRule="auto"/>
        <w:rPr>
          <w:rFonts w:hint="eastAsia" w:asciiTheme="minorEastAsia" w:hAnsiTheme="minorEastAsia" w:eastAsiaTheme="minorEastAsia" w:cstheme="minorEastAsia"/>
          <w:spacing w:val="0"/>
          <w:position w:val="0"/>
          <w:sz w:val="24"/>
          <w:szCs w:val="24"/>
          <w:highlight w:val="none"/>
        </w:rPr>
      </w:pPr>
    </w:p>
    <w:p w14:paraId="0AF4545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C9CA57C">
      <w:pPr>
        <w:shd w:val="clear"/>
        <w:spacing w:line="360" w:lineRule="auto"/>
        <w:rPr>
          <w:rFonts w:hint="eastAsia" w:asciiTheme="minorEastAsia" w:hAnsiTheme="minorEastAsia" w:eastAsiaTheme="minorEastAsia" w:cstheme="minorEastAsia"/>
          <w:spacing w:val="0"/>
          <w:position w:val="0"/>
          <w:sz w:val="24"/>
          <w:szCs w:val="24"/>
          <w:highlight w:val="none"/>
        </w:rPr>
        <w:sectPr>
          <w:footerReference r:id="rId30" w:type="default"/>
          <w:pgSz w:w="11906" w:h="16839"/>
          <w:pgMar w:top="1440" w:right="1080" w:bottom="1440" w:left="1080" w:header="866" w:footer="994" w:gutter="0"/>
          <w:pgNumType w:fmt="decimal"/>
          <w:cols w:space="720" w:num="1"/>
        </w:sectPr>
      </w:pPr>
    </w:p>
    <w:p w14:paraId="13A3210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示范格式三</w:t>
      </w:r>
    </w:p>
    <w:p w14:paraId="68855F8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符合《政府采购法》第二十二条规定条件的声明函</w:t>
      </w:r>
    </w:p>
    <w:p w14:paraId="744A714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spacing w:val="0"/>
          <w:position w:val="0"/>
          <w:sz w:val="24"/>
          <w:szCs w:val="24"/>
          <w:highlight w:val="none"/>
          <w:lang w:val="en-US" w:eastAsia="zh-CN"/>
        </w:rPr>
        <w:t>：</w:t>
      </w:r>
    </w:p>
    <w:p w14:paraId="05197B9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我公司参加贵单位组织实施的（项目编号：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的政府采购活动。针对《中华人民共和国政府采购法》第二十二条规定做出如下声明：</w:t>
      </w:r>
    </w:p>
    <w:p w14:paraId="6158A3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1.我单位具有独立承担民事责任的能力；</w:t>
      </w:r>
    </w:p>
    <w:p w14:paraId="4988EA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2.我单位具有良好的商业信誉和健全的财务会计制度；</w:t>
      </w:r>
    </w:p>
    <w:p w14:paraId="4E6EB4C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3.我单位具有履行合同所必需的设备和专业技术能力；</w:t>
      </w:r>
    </w:p>
    <w:p w14:paraId="4AC9BDD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4.我单位有依法缴纳税收和社会保障资金的良好记录；</w:t>
      </w:r>
    </w:p>
    <w:p w14:paraId="60D781F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5.参加本次政府采购活动前三年内，我公司在经营活动中没有因违法经营受到刑事处罚或者责令停产停业、吊销许可证或者执照、较大数额罚款等行政处罚。</w:t>
      </w:r>
    </w:p>
    <w:p w14:paraId="40CCE1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6.我单位满足法律、行政法规规定的其他条件。</w:t>
      </w:r>
    </w:p>
    <w:p w14:paraId="2A3575E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CCBC7DD">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264691D">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02B6DCA8">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6E902F2">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33650AA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649CF1F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（电子签章或电子签字）</w:t>
      </w:r>
    </w:p>
    <w:p w14:paraId="4EC236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656532E1">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sectPr>
          <w:headerReference r:id="rId31" w:type="default"/>
          <w:footerReference r:id="rId32" w:type="default"/>
          <w:pgSz w:w="11906" w:h="16839"/>
          <w:pgMar w:top="1440" w:right="1080" w:bottom="1440" w:left="1080" w:header="866" w:footer="994" w:gutter="0"/>
          <w:pgNumType w:fmt="decimal"/>
          <w:cols w:space="720" w:num="1"/>
        </w:sectPr>
      </w:pPr>
    </w:p>
    <w:p w14:paraId="04DA49C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示范格式四</w:t>
      </w:r>
    </w:p>
    <w:p w14:paraId="19459AF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承  诺  书</w:t>
      </w:r>
    </w:p>
    <w:p w14:paraId="488D51D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0E0547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我方在</w:t>
      </w:r>
      <w:r>
        <w:rPr>
          <w:rFonts w:hint="eastAsia" w:asciiTheme="minorEastAsia" w:hAnsiTheme="minorEastAsia" w:eastAsiaTheme="minorEastAsia" w:cstheme="minorEastAsia"/>
          <w:spacing w:val="0"/>
          <w:position w:val="0"/>
          <w:sz w:val="24"/>
          <w:szCs w:val="24"/>
          <w:highlight w:val="none"/>
          <w:u w:val="single"/>
          <w:lang w:val="en-US" w:eastAsia="zh-CN"/>
        </w:rPr>
        <w:t xml:space="preserve">   （项目名称、项目编号及标段）          </w:t>
      </w:r>
      <w:r>
        <w:rPr>
          <w:rFonts w:hint="eastAsia" w:asciiTheme="minorEastAsia" w:hAnsiTheme="minorEastAsia" w:eastAsiaTheme="minorEastAsia" w:cstheme="minorEastAsia"/>
          <w:spacing w:val="0"/>
          <w:position w:val="0"/>
          <w:sz w:val="24"/>
          <w:szCs w:val="24"/>
          <w:highlight w:val="none"/>
          <w:lang w:val="en-US" w:eastAsia="zh-CN"/>
        </w:rPr>
        <w:t>的投标过程中，做如下承诺：</w:t>
      </w:r>
    </w:p>
    <w:p w14:paraId="2F4434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1.我单位不存在“负责人为同一人或者存在直接控股、管理关系的不同投标人，同时参加同一合同项下的政府采购活动”的情况；</w:t>
      </w:r>
    </w:p>
    <w:p w14:paraId="2D6862F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2.我单位不存在“为本次采购项目提供整体设计、规范编制或者项目管理、监理、检测等服务的投标人，再参加本项目的采购活动”；</w:t>
      </w:r>
    </w:p>
    <w:p w14:paraId="2CABF5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3.参加本次采购活动前，我方没有被“信用中国”网站“中国政府采购网”列入失信被执行人、重大税收违法案件当事人名单、政府采购严重违法失信行为记录名单。</w:t>
      </w:r>
    </w:p>
    <w:p w14:paraId="08B8667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在参与本次招标投标活动中，如果采购人发现我司存在上述任何情况的，我司愿意承担由此造成的一切法律后果。</w:t>
      </w:r>
    </w:p>
    <w:p w14:paraId="058E93A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特此声明！</w:t>
      </w:r>
    </w:p>
    <w:p w14:paraId="4CBD724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7C3661A">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2026B24">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154D0713">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3E2CACC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 xml:space="preserve"> 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日</w:t>
      </w:r>
    </w:p>
    <w:p w14:paraId="6DB3C59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sectPr>
          <w:footerReference r:id="rId33" w:type="default"/>
          <w:pgSz w:w="11906" w:h="16839"/>
          <w:pgMar w:top="1440" w:right="1080" w:bottom="1440" w:left="1080" w:header="866" w:footer="994" w:gutter="0"/>
          <w:pgNumType w:fmt="decimal"/>
          <w:cols w:space="720" w:num="1"/>
        </w:sectPr>
      </w:pPr>
    </w:p>
    <w:p w14:paraId="4C829E9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示范格式五</w:t>
      </w:r>
    </w:p>
    <w:p w14:paraId="2B331D80">
      <w:pPr>
        <w:widowControl w:val="0"/>
        <w:kinsoku/>
        <w:autoSpaceDE/>
        <w:autoSpaceDN/>
        <w:spacing w:line="360" w:lineRule="auto"/>
        <w:jc w:val="center"/>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b/>
          <w:bCs/>
          <w:kern w:val="0"/>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致：（</w:t>
      </w:r>
      <w:r>
        <w:rPr>
          <w:rFonts w:hint="eastAsia" w:asciiTheme="minorEastAsia" w:hAnsiTheme="minorEastAsia" w:eastAsiaTheme="minorEastAsia" w:cstheme="minorEastAsia"/>
          <w:kern w:val="0"/>
          <w:sz w:val="24"/>
          <w:szCs w:val="24"/>
          <w:u w:val="single"/>
          <w:lang w:eastAsia="zh-CN"/>
        </w:rPr>
        <w:t>采购人</w:t>
      </w:r>
      <w:r>
        <w:rPr>
          <w:rFonts w:hint="eastAsia" w:asciiTheme="minorEastAsia" w:hAnsiTheme="minorEastAsia" w:eastAsiaTheme="minorEastAsia" w:cstheme="minorEastAsia"/>
          <w:kern w:val="0"/>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我方在</w:t>
      </w:r>
      <w:r>
        <w:rPr>
          <w:rFonts w:hint="eastAsia" w:asciiTheme="minorEastAsia" w:hAnsiTheme="minorEastAsia" w:eastAsiaTheme="minorEastAsia" w:cstheme="minorEastAsia"/>
          <w:kern w:val="0"/>
          <w:sz w:val="24"/>
          <w:szCs w:val="24"/>
          <w:u w:val="single"/>
          <w:lang w:eastAsia="zh-CN"/>
        </w:rPr>
        <w:t xml:space="preserve">   （项目名称、项目编号及标段）          </w:t>
      </w:r>
      <w:r>
        <w:rPr>
          <w:rFonts w:hint="eastAsia" w:asciiTheme="minorEastAsia" w:hAnsiTheme="minorEastAsia" w:eastAsiaTheme="minorEastAsia" w:cstheme="minorEastAsia"/>
          <w:kern w:val="0"/>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2.我单位能在合同签订后，接到医院通知 30 天之内将货物运抵医院；</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5.对产品的外观或质量问题，我单位</w:t>
      </w:r>
      <w:r>
        <w:rPr>
          <w:rFonts w:hint="eastAsia" w:asciiTheme="minorEastAsia" w:hAnsiTheme="minorEastAsia" w:eastAsiaTheme="minorEastAsia" w:cstheme="minorEastAsia"/>
          <w:kern w:val="0"/>
          <w:sz w:val="24"/>
          <w:szCs w:val="24"/>
          <w:lang w:val="en-US" w:eastAsia="zh-CN"/>
        </w:rPr>
        <w:t>在</w:t>
      </w:r>
      <w:r>
        <w:rPr>
          <w:rFonts w:hint="eastAsia" w:asciiTheme="minorEastAsia" w:hAnsiTheme="minorEastAsia" w:eastAsiaTheme="minorEastAsia" w:cstheme="minorEastAsia"/>
          <w:kern w:val="0"/>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kern w:val="0"/>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kern w:val="0"/>
          <w:sz w:val="24"/>
          <w:szCs w:val="24"/>
          <w:lang w:eastAsia="zh-CN"/>
        </w:rPr>
        <w:t>（各投标人根据单位情况实情</w:t>
      </w:r>
      <w:r>
        <w:rPr>
          <w:rFonts w:hint="eastAsia" w:asciiTheme="minorEastAsia" w:hAnsiTheme="minorEastAsia" w:eastAsiaTheme="minorEastAsia" w:cstheme="minorEastAsia"/>
          <w:b/>
          <w:bCs/>
          <w:kern w:val="0"/>
          <w:sz w:val="24"/>
          <w:szCs w:val="24"/>
          <w:lang w:val="en-US" w:eastAsia="zh-CN"/>
        </w:rPr>
        <w:t>自行在本条进行</w:t>
      </w:r>
      <w:r>
        <w:rPr>
          <w:rFonts w:hint="eastAsia" w:asciiTheme="minorEastAsia" w:hAnsiTheme="minorEastAsia" w:eastAsiaTheme="minorEastAsia" w:cstheme="minorEastAsia"/>
          <w:b/>
          <w:bCs/>
          <w:kern w:val="0"/>
          <w:sz w:val="24"/>
          <w:szCs w:val="24"/>
          <w:lang w:eastAsia="zh-CN"/>
        </w:rPr>
        <w:t>承诺，</w:t>
      </w:r>
      <w:r>
        <w:rPr>
          <w:rFonts w:hint="eastAsia" w:asciiTheme="minorEastAsia" w:hAnsiTheme="minorEastAsia" w:eastAsiaTheme="minorEastAsia" w:cstheme="minorEastAsia"/>
          <w:b/>
          <w:bCs/>
          <w:kern w:val="0"/>
          <w:sz w:val="24"/>
          <w:szCs w:val="24"/>
          <w:lang w:val="en-US" w:eastAsia="zh-CN"/>
        </w:rPr>
        <w:t>承诺</w:t>
      </w:r>
      <w:r>
        <w:rPr>
          <w:rFonts w:hint="eastAsia" w:asciiTheme="minorEastAsia" w:hAnsiTheme="minorEastAsia" w:eastAsiaTheme="minorEastAsia" w:cstheme="minorEastAsia"/>
          <w:b/>
          <w:bCs/>
          <w:kern w:val="0"/>
          <w:sz w:val="24"/>
          <w:szCs w:val="24"/>
          <w:lang w:eastAsia="zh-CN"/>
        </w:rPr>
        <w:t>至少包含：明确保修期、免费软件升级、故障响应时间、</w:t>
      </w:r>
      <w:r>
        <w:rPr>
          <w:rFonts w:hint="eastAsia" w:asciiTheme="minorEastAsia" w:hAnsiTheme="minorEastAsia" w:eastAsiaTheme="minorEastAsia" w:cstheme="minorEastAsia"/>
          <w:b/>
          <w:bCs/>
          <w:kern w:val="0"/>
          <w:sz w:val="24"/>
          <w:szCs w:val="24"/>
          <w:lang w:val="en-US" w:eastAsia="zh-CN"/>
        </w:rPr>
        <w:t>提供备用机、</w:t>
      </w:r>
      <w:r>
        <w:rPr>
          <w:rFonts w:hint="eastAsia" w:asciiTheme="minorEastAsia" w:hAnsiTheme="minorEastAsia" w:eastAsiaTheme="minorEastAsia" w:cstheme="minorEastAsia"/>
          <w:b/>
          <w:bCs/>
          <w:kern w:val="0"/>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kern w:val="0"/>
          <w:sz w:val="24"/>
          <w:szCs w:val="24"/>
          <w:lang w:eastAsia="zh-CN"/>
        </w:rPr>
        <w:br w:type="textWrapping"/>
      </w:r>
      <w:r>
        <w:rPr>
          <w:rFonts w:hint="eastAsia" w:asciiTheme="minorEastAsia" w:hAnsiTheme="minorEastAsia" w:eastAsiaTheme="minorEastAsia" w:cstheme="minorEastAsia"/>
          <w:b/>
          <w:bCs/>
          <w:kern w:val="0"/>
          <w:sz w:val="24"/>
          <w:szCs w:val="24"/>
          <w:lang w:eastAsia="zh-CN"/>
        </w:rPr>
        <w:t xml:space="preserve">  </w:t>
      </w:r>
      <w:r>
        <w:rPr>
          <w:rFonts w:hint="eastAsia" w:asciiTheme="minorEastAsia" w:hAnsiTheme="minorEastAsia" w:eastAsiaTheme="minorEastAsia" w:cstheme="minorEastAsia"/>
          <w:kern w:val="0"/>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特此声明！</w:t>
      </w:r>
    </w:p>
    <w:p w14:paraId="220959D9">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4F7773FD">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6B34E37A">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投标人：</w:t>
      </w:r>
      <w:r>
        <w:rPr>
          <w:rFonts w:hint="eastAsia" w:asciiTheme="minorEastAsia" w:hAnsiTheme="minorEastAsia" w:eastAsiaTheme="minorEastAsia" w:cstheme="minorEastAsia"/>
          <w:kern w:val="0"/>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法定代表人或其委托受托人签字：</w:t>
      </w:r>
      <w:r>
        <w:rPr>
          <w:rFonts w:hint="eastAsia" w:asciiTheme="minorEastAsia" w:hAnsiTheme="minorEastAsia" w:eastAsiaTheme="minorEastAsia" w:cstheme="minorEastAsia"/>
          <w:kern w:val="0"/>
          <w:sz w:val="24"/>
          <w:szCs w:val="24"/>
          <w:u w:val="single"/>
          <w:lang w:eastAsia="zh-CN"/>
        </w:rPr>
        <w:t>（电子签章或电子签字）</w:t>
      </w:r>
    </w:p>
    <w:p w14:paraId="7A36FC28">
      <w:pPr>
        <w:jc w:val="right"/>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kern w:val="0"/>
          <w:sz w:val="24"/>
          <w:szCs w:val="24"/>
        </w:rPr>
        <w:t>日   期：</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rPr>
        <w:t>日</w:t>
      </w: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5CFE1FE7">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示范格式六</w:t>
      </w:r>
    </w:p>
    <w:p w14:paraId="60F1213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企业声明函（货物）</w:t>
      </w:r>
    </w:p>
    <w:p w14:paraId="06C48E5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72DD7E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u w:val="none"/>
          <w:lang w:val="en-US" w:eastAsia="zh-CN"/>
        </w:rPr>
        <w:t>本公司郑重声明，根据《政府采购促进中小企业发展管理办法》（财库﹝2020﹞46 号）的规定，本公司参加</w:t>
      </w:r>
      <w:r>
        <w:rPr>
          <w:rFonts w:hint="eastAsia" w:asciiTheme="minorEastAsia" w:hAnsiTheme="minorEastAsia" w:eastAsiaTheme="minorEastAsia" w:cstheme="minorEastAsia"/>
          <w:spacing w:val="0"/>
          <w:position w:val="0"/>
          <w:sz w:val="24"/>
          <w:szCs w:val="24"/>
          <w:highlight w:val="none"/>
          <w:u w:val="single"/>
          <w:lang w:val="en-US" w:eastAsia="zh-CN"/>
        </w:rPr>
        <w:t>（单位名称）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（项目名称）（标段）</w:t>
      </w:r>
      <w:r>
        <w:rPr>
          <w:rFonts w:hint="eastAsia" w:asciiTheme="minorEastAsia" w:hAnsiTheme="minorEastAsia" w:eastAsiaTheme="minorEastAsia" w:cstheme="minorEastAsia"/>
          <w:spacing w:val="0"/>
          <w:position w:val="0"/>
          <w:sz w:val="24"/>
          <w:szCs w:val="24"/>
          <w:highlight w:val="none"/>
          <w:lang w:val="en-US" w:eastAsia="zh-CN"/>
        </w:rPr>
        <w:t>采购活动，提供的货物全部由符合政策要求的中小企业制造。相关企业的具体情况如下：</w:t>
      </w:r>
    </w:p>
    <w:p w14:paraId="408383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721424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61B3F85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w:t>
      </w:r>
    </w:p>
    <w:p w14:paraId="6A5179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以上企业，不属于大企业的分支机构，不存在控股股东为大企业的情形，也不存在与大企业的负责人为同一人的情形。</w:t>
      </w:r>
    </w:p>
    <w:p w14:paraId="12B7054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本企业对上述声明内容的真实性负责。如有虚假，将依法承担相应责任。</w:t>
      </w:r>
    </w:p>
    <w:p w14:paraId="075CC9A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4373D45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089796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3030F04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注：¹从业人员、营业收入、资产总额填报上一年度数据，无上一年度数据的新成立企业可不填报。</w:t>
      </w:r>
    </w:p>
    <w:p w14:paraId="3B50926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34" w:type="default"/>
          <w:footerReference r:id="rId35" w:type="default"/>
          <w:pgSz w:w="11906" w:h="16839"/>
          <w:pgMar w:top="1440" w:right="1080" w:bottom="1440" w:left="1080" w:header="866" w:footer="994" w:gutter="0"/>
          <w:pgNumType w:fmt="decimal"/>
          <w:cols w:space="720" w:num="1"/>
        </w:sectPr>
      </w:pPr>
    </w:p>
    <w:p w14:paraId="0A9C8C8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示范格式七</w:t>
      </w:r>
    </w:p>
    <w:p w14:paraId="636684F7">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残疾人福利性单位声明函</w:t>
      </w:r>
    </w:p>
    <w:p w14:paraId="030C82A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b/>
          <w:bCs/>
          <w:spacing w:val="0"/>
          <w:position w:val="0"/>
          <w:sz w:val="24"/>
          <w:szCs w:val="24"/>
          <w:highlight w:val="none"/>
          <w:lang w:val="en-US" w:eastAsia="zh-CN"/>
        </w:rPr>
        <w:t>：</w:t>
      </w:r>
    </w:p>
    <w:p w14:paraId="2543F4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45C9E8D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1.根据《财政部 民政部 中国残疾人联合会关于促进残疾人就业政府采购政策的通知》（财库〔2017〕141 号）规定的划分标准，本公司为残疾人福利性企业。</w:t>
      </w:r>
    </w:p>
    <w:p w14:paraId="6791E6A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2.本单位参加</w:t>
      </w:r>
      <w:r>
        <w:rPr>
          <w:rFonts w:hint="eastAsia" w:asciiTheme="minorEastAsia" w:hAnsiTheme="minorEastAsia" w:eastAsiaTheme="minorEastAsia" w:cstheme="minorEastAsia"/>
          <w:spacing w:val="0"/>
          <w:position w:val="0"/>
          <w:sz w:val="24"/>
          <w:szCs w:val="24"/>
          <w:highlight w:val="none"/>
          <w:u w:val="single"/>
          <w:lang w:val="en-US" w:eastAsia="zh-CN"/>
        </w:rPr>
        <w:t>（采购单位名称）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（采购项目名称）（标段） </w:t>
      </w:r>
      <w:r>
        <w:rPr>
          <w:rFonts w:hint="eastAsia" w:asciiTheme="minorEastAsia" w:hAnsiTheme="minorEastAsia" w:eastAsiaTheme="minorEastAsia" w:cstheme="minorEastAsia"/>
          <w:spacing w:val="0"/>
          <w:position w:val="0"/>
          <w:sz w:val="24"/>
          <w:szCs w:val="24"/>
          <w:highlight w:val="none"/>
          <w:u w:val="none"/>
          <w:lang w:val="en-US" w:eastAsia="zh-CN"/>
        </w:rPr>
        <w:t>项目采购活动提供本单位制造的货物（由本单位承担工程/提供服务），或者提供其他残疾人福利性单位制造的货物（不包括使用非残疾人福利性单位注册商标的货物）。</w:t>
      </w:r>
    </w:p>
    <w:p w14:paraId="1642340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注：本公司对上述声明的真实性负责。如有虚假，将依法承担相应责任。</w:t>
      </w:r>
    </w:p>
    <w:p w14:paraId="0E704805">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7EEB7AE0">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61907A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7016D3C3">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3B4640A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2FBBB46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469499A">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3663B04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06615FD">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69449446">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7790F45">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95EB7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注：非残疾人福利性单位不需提供此函。</w:t>
      </w:r>
    </w:p>
    <w:p w14:paraId="41168D1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sectPr>
      <w:headerReference r:id="rId36" w:type="default"/>
      <w:footerReference r:id="rId37" w:type="default"/>
      <w:pgSz w:w="11906" w:h="16839"/>
      <w:pgMar w:top="1440" w:right="1080" w:bottom="1440" w:left="1080" w:header="866"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F91AFE">
                          <w:pPr>
                            <w:pStyle w:val="8"/>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1AF91AFE">
                    <w:pPr>
                      <w:pStyle w:val="8"/>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E7E0CBC">
                          <w:pPr>
                            <w:pStyle w:val="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3E7E0CBC">
                    <w:pPr>
                      <w:pStyle w:val="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1B697">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AC18A9">
                          <w:pPr>
                            <w:pStyle w:val="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40AC18A9">
                    <w:pPr>
                      <w:pStyle w:val="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1DA0E">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E8C46BD">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1E8C46BD">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31F3B">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5A3A50">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495A3A50">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204D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E85FFF">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46E85FFF">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B9D76">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CA62387">
                          <w:pPr>
                            <w:pStyle w:val="8"/>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4CA62387">
                    <w:pPr>
                      <w:pStyle w:val="8"/>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7FB67">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56E05D">
                          <w:pPr>
                            <w:pStyle w:val="8"/>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4056E05D">
                    <w:pPr>
                      <w:pStyle w:val="8"/>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6D6A1">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48D3D6">
                          <w:pPr>
                            <w:pStyle w:val="8"/>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3F48D3D6">
                    <w:pPr>
                      <w:pStyle w:val="8"/>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635B0">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9C9263">
                          <w:pPr>
                            <w:pStyle w:val="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029C9263">
                    <w:pPr>
                      <w:pStyle w:val="8"/>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FC7DF07">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1FC7DF07">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56333">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0700F99">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50700F99">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36C3CA">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2A36C3CA">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C87963">
                          <w:pPr>
                            <w:pStyle w:val="8"/>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25C87963">
                    <w:pPr>
                      <w:pStyle w:val="8"/>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C9CCE4">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0CC9CCE4">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BCAAF67">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1BCAAF67">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EDC32">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BA334">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FD3C6">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486C1">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6A35C">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01161">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leftChars="0" w:firstLine="0" w:firstLineChars="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112403"/>
    <w:rsid w:val="00402E72"/>
    <w:rsid w:val="00665BAD"/>
    <w:rsid w:val="00960E41"/>
    <w:rsid w:val="00FC3E6D"/>
    <w:rsid w:val="014161A7"/>
    <w:rsid w:val="01536131"/>
    <w:rsid w:val="01E66FA5"/>
    <w:rsid w:val="0206252C"/>
    <w:rsid w:val="025D115D"/>
    <w:rsid w:val="02EB738D"/>
    <w:rsid w:val="038E47F6"/>
    <w:rsid w:val="04897582"/>
    <w:rsid w:val="04B34E6A"/>
    <w:rsid w:val="057436F0"/>
    <w:rsid w:val="06430CCF"/>
    <w:rsid w:val="067A63FF"/>
    <w:rsid w:val="07596CD5"/>
    <w:rsid w:val="07A12647"/>
    <w:rsid w:val="07B643D7"/>
    <w:rsid w:val="07F56E32"/>
    <w:rsid w:val="08200EF3"/>
    <w:rsid w:val="082E5075"/>
    <w:rsid w:val="08652701"/>
    <w:rsid w:val="087F0A78"/>
    <w:rsid w:val="08CF7BC5"/>
    <w:rsid w:val="08FB4B1A"/>
    <w:rsid w:val="09420C7D"/>
    <w:rsid w:val="097F6BD2"/>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DAF09BF"/>
    <w:rsid w:val="0DDC1732"/>
    <w:rsid w:val="0E0720CF"/>
    <w:rsid w:val="0E4946FF"/>
    <w:rsid w:val="103C3101"/>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A2C03BF"/>
    <w:rsid w:val="1A651885"/>
    <w:rsid w:val="1A8D25D2"/>
    <w:rsid w:val="1AC437A4"/>
    <w:rsid w:val="1AE7123F"/>
    <w:rsid w:val="1B261DE7"/>
    <w:rsid w:val="1B340F05"/>
    <w:rsid w:val="1B64457C"/>
    <w:rsid w:val="1B9016AF"/>
    <w:rsid w:val="1C006B2E"/>
    <w:rsid w:val="1C2E319B"/>
    <w:rsid w:val="1D7F12F2"/>
    <w:rsid w:val="1E3929FE"/>
    <w:rsid w:val="1EF425BE"/>
    <w:rsid w:val="1F017E6D"/>
    <w:rsid w:val="1F0A7BCF"/>
    <w:rsid w:val="1F2A47C3"/>
    <w:rsid w:val="1F642E60"/>
    <w:rsid w:val="1F7072B8"/>
    <w:rsid w:val="1F994711"/>
    <w:rsid w:val="20BF2809"/>
    <w:rsid w:val="20C76583"/>
    <w:rsid w:val="20D41224"/>
    <w:rsid w:val="20E029BA"/>
    <w:rsid w:val="20E40884"/>
    <w:rsid w:val="21313F61"/>
    <w:rsid w:val="21DF31DD"/>
    <w:rsid w:val="226225B1"/>
    <w:rsid w:val="22F3494E"/>
    <w:rsid w:val="230A1B07"/>
    <w:rsid w:val="233E456B"/>
    <w:rsid w:val="23911F3A"/>
    <w:rsid w:val="23E519B1"/>
    <w:rsid w:val="246D27B7"/>
    <w:rsid w:val="24BE7DEB"/>
    <w:rsid w:val="27012EFA"/>
    <w:rsid w:val="270F6953"/>
    <w:rsid w:val="27536BD8"/>
    <w:rsid w:val="2815195D"/>
    <w:rsid w:val="28431EEB"/>
    <w:rsid w:val="285055FC"/>
    <w:rsid w:val="28C2001B"/>
    <w:rsid w:val="28E52151"/>
    <w:rsid w:val="29115E06"/>
    <w:rsid w:val="29124DEF"/>
    <w:rsid w:val="291E134A"/>
    <w:rsid w:val="29357A83"/>
    <w:rsid w:val="294F3B29"/>
    <w:rsid w:val="29F40FD1"/>
    <w:rsid w:val="2A8F5005"/>
    <w:rsid w:val="2AB679ED"/>
    <w:rsid w:val="2C2D6D1B"/>
    <w:rsid w:val="2C3E4F75"/>
    <w:rsid w:val="2C5806F8"/>
    <w:rsid w:val="2D381EE0"/>
    <w:rsid w:val="2D733C4B"/>
    <w:rsid w:val="2EB578C0"/>
    <w:rsid w:val="2F0A4710"/>
    <w:rsid w:val="2F7A6589"/>
    <w:rsid w:val="2F7B189A"/>
    <w:rsid w:val="30244984"/>
    <w:rsid w:val="30470360"/>
    <w:rsid w:val="304902AE"/>
    <w:rsid w:val="306A0C1F"/>
    <w:rsid w:val="30C75BBC"/>
    <w:rsid w:val="31232B7B"/>
    <w:rsid w:val="312D1C4B"/>
    <w:rsid w:val="312E6D2F"/>
    <w:rsid w:val="314440D4"/>
    <w:rsid w:val="31E27948"/>
    <w:rsid w:val="3216448E"/>
    <w:rsid w:val="322477E6"/>
    <w:rsid w:val="32A05887"/>
    <w:rsid w:val="33461C1A"/>
    <w:rsid w:val="337C05BE"/>
    <w:rsid w:val="337E32DF"/>
    <w:rsid w:val="33AB32FB"/>
    <w:rsid w:val="33B77164"/>
    <w:rsid w:val="33F626CA"/>
    <w:rsid w:val="343E0E9F"/>
    <w:rsid w:val="3490278E"/>
    <w:rsid w:val="3492787D"/>
    <w:rsid w:val="35070027"/>
    <w:rsid w:val="35D52A56"/>
    <w:rsid w:val="36324846"/>
    <w:rsid w:val="363B7E11"/>
    <w:rsid w:val="368C042F"/>
    <w:rsid w:val="36F00E38"/>
    <w:rsid w:val="375D14A9"/>
    <w:rsid w:val="37927296"/>
    <w:rsid w:val="37B7401D"/>
    <w:rsid w:val="38113D1D"/>
    <w:rsid w:val="38BF1523"/>
    <w:rsid w:val="38D2663D"/>
    <w:rsid w:val="38E2359B"/>
    <w:rsid w:val="392C0A4D"/>
    <w:rsid w:val="39451ED2"/>
    <w:rsid w:val="3A836438"/>
    <w:rsid w:val="3A8A4BA7"/>
    <w:rsid w:val="3AA1697F"/>
    <w:rsid w:val="3AF06D94"/>
    <w:rsid w:val="3B002C8A"/>
    <w:rsid w:val="3BBA704E"/>
    <w:rsid w:val="3BD61364"/>
    <w:rsid w:val="3C11052C"/>
    <w:rsid w:val="3C223023"/>
    <w:rsid w:val="3C6D7193"/>
    <w:rsid w:val="3CA51796"/>
    <w:rsid w:val="3D107010"/>
    <w:rsid w:val="3D1368B4"/>
    <w:rsid w:val="3D223F11"/>
    <w:rsid w:val="3D3F7DF8"/>
    <w:rsid w:val="3DC3718A"/>
    <w:rsid w:val="3DCF2DF0"/>
    <w:rsid w:val="3DDB1FB9"/>
    <w:rsid w:val="3DE13C88"/>
    <w:rsid w:val="400B5234"/>
    <w:rsid w:val="419340C0"/>
    <w:rsid w:val="421F4DB2"/>
    <w:rsid w:val="422B6821"/>
    <w:rsid w:val="42853FB7"/>
    <w:rsid w:val="431247FD"/>
    <w:rsid w:val="431C567C"/>
    <w:rsid w:val="43387889"/>
    <w:rsid w:val="43F94D92"/>
    <w:rsid w:val="443E022D"/>
    <w:rsid w:val="447C0AC8"/>
    <w:rsid w:val="45092C67"/>
    <w:rsid w:val="46354E5C"/>
    <w:rsid w:val="47CA2053"/>
    <w:rsid w:val="48C967BB"/>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E2F3AB4"/>
    <w:rsid w:val="4F343003"/>
    <w:rsid w:val="4F8E4489"/>
    <w:rsid w:val="4FF167DB"/>
    <w:rsid w:val="501475C7"/>
    <w:rsid w:val="50E22B52"/>
    <w:rsid w:val="5275689B"/>
    <w:rsid w:val="528B7935"/>
    <w:rsid w:val="532716FD"/>
    <w:rsid w:val="535755A4"/>
    <w:rsid w:val="539F23E4"/>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AF66B5"/>
    <w:rsid w:val="5A59675B"/>
    <w:rsid w:val="5AC60E8C"/>
    <w:rsid w:val="5ADA54C0"/>
    <w:rsid w:val="5AE23514"/>
    <w:rsid w:val="5B135AE6"/>
    <w:rsid w:val="5BB716B9"/>
    <w:rsid w:val="5BB92F1E"/>
    <w:rsid w:val="5BFB027A"/>
    <w:rsid w:val="5C8B76A2"/>
    <w:rsid w:val="5D12769C"/>
    <w:rsid w:val="5D4777EC"/>
    <w:rsid w:val="5D4E00E6"/>
    <w:rsid w:val="5DCF1499"/>
    <w:rsid w:val="5DD479B8"/>
    <w:rsid w:val="5F7302EE"/>
    <w:rsid w:val="5FB60AF3"/>
    <w:rsid w:val="5FCF518C"/>
    <w:rsid w:val="5FF87A4F"/>
    <w:rsid w:val="5FF92B75"/>
    <w:rsid w:val="600B4FBD"/>
    <w:rsid w:val="60426837"/>
    <w:rsid w:val="6053523D"/>
    <w:rsid w:val="60985381"/>
    <w:rsid w:val="60FB729B"/>
    <w:rsid w:val="61213BFC"/>
    <w:rsid w:val="618F1CE1"/>
    <w:rsid w:val="619B22C3"/>
    <w:rsid w:val="61EF06E1"/>
    <w:rsid w:val="62407E76"/>
    <w:rsid w:val="62820C83"/>
    <w:rsid w:val="628731FE"/>
    <w:rsid w:val="62B20F47"/>
    <w:rsid w:val="630B24F7"/>
    <w:rsid w:val="63755EEA"/>
    <w:rsid w:val="638B1E2E"/>
    <w:rsid w:val="639B4D41"/>
    <w:rsid w:val="644C01F6"/>
    <w:rsid w:val="649966BA"/>
    <w:rsid w:val="64D93BCC"/>
    <w:rsid w:val="65177955"/>
    <w:rsid w:val="651F27A6"/>
    <w:rsid w:val="657607C4"/>
    <w:rsid w:val="66011AE5"/>
    <w:rsid w:val="6629004F"/>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47855"/>
    <w:rsid w:val="6D4F41FA"/>
    <w:rsid w:val="6DBD77CC"/>
    <w:rsid w:val="6E457DF8"/>
    <w:rsid w:val="6F0E4FAF"/>
    <w:rsid w:val="6F5F4E0C"/>
    <w:rsid w:val="6FE56C72"/>
    <w:rsid w:val="70812E3F"/>
    <w:rsid w:val="714E63B6"/>
    <w:rsid w:val="71571B51"/>
    <w:rsid w:val="71D47AC2"/>
    <w:rsid w:val="72217BDB"/>
    <w:rsid w:val="73255DD7"/>
    <w:rsid w:val="74315173"/>
    <w:rsid w:val="74517805"/>
    <w:rsid w:val="74853D1F"/>
    <w:rsid w:val="756D61E1"/>
    <w:rsid w:val="75746E8D"/>
    <w:rsid w:val="75C17AC7"/>
    <w:rsid w:val="76007FF6"/>
    <w:rsid w:val="76C05F93"/>
    <w:rsid w:val="76E2676F"/>
    <w:rsid w:val="77104BC7"/>
    <w:rsid w:val="77200D37"/>
    <w:rsid w:val="7849083D"/>
    <w:rsid w:val="784F0486"/>
    <w:rsid w:val="787B4FE4"/>
    <w:rsid w:val="78935F8D"/>
    <w:rsid w:val="793C12BF"/>
    <w:rsid w:val="794B66E5"/>
    <w:rsid w:val="7B002E81"/>
    <w:rsid w:val="7B2F4181"/>
    <w:rsid w:val="7BB27DEC"/>
    <w:rsid w:val="7BD26EE1"/>
    <w:rsid w:val="7BDF4B6C"/>
    <w:rsid w:val="7C3705DB"/>
    <w:rsid w:val="7C6E769A"/>
    <w:rsid w:val="7CB7753A"/>
    <w:rsid w:val="7CF52DBD"/>
    <w:rsid w:val="7D0746CC"/>
    <w:rsid w:val="7D1353A6"/>
    <w:rsid w:val="7DB25FD4"/>
    <w:rsid w:val="7E28142A"/>
    <w:rsid w:val="7EBE59C1"/>
    <w:rsid w:val="7ED94D69"/>
    <w:rsid w:val="7F4314F2"/>
    <w:rsid w:val="7F5E5FEE"/>
    <w:rsid w:val="7FEA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ascii="Arial" w:hAnsi="Arial" w:eastAsia="楷体"/>
    </w:rPr>
  </w:style>
  <w:style w:type="paragraph" w:styleId="3">
    <w:name w:val="heading 3"/>
    <w:next w:val="1"/>
    <w:qFormat/>
    <w:uiPriority w:val="0"/>
    <w:pPr>
      <w:widowControl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next w:val="1"/>
    <w:qFormat/>
    <w:uiPriority w:val="0"/>
    <w:pPr>
      <w:widowControl w:val="0"/>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20"/>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cs="Times New Roman"/>
    </w:rPr>
  </w:style>
  <w:style w:type="character" w:styleId="16">
    <w:name w:val="Hyperlink"/>
    <w:basedOn w:val="14"/>
    <w:qFormat/>
    <w:uiPriority w:val="0"/>
    <w:rPr>
      <w:color w:val="0000FF"/>
      <w:u w:val="single"/>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仿宋" w:hAnsi="仿宋" w:eastAsia="仿宋" w:cs="仿宋"/>
      <w:sz w:val="30"/>
      <w:szCs w:val="30"/>
      <w:lang w:val="en-US" w:eastAsia="en-US" w:bidi="ar-SA"/>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 w:type="paragraph" w:styleId="22">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paragraph" w:customStyle="1" w:styleId="23">
    <w:name w:val="UserStyle_0"/>
    <w:qFormat/>
    <w:uiPriority w:val="0"/>
    <w:pPr>
      <w:widowControl w:val="0"/>
      <w:spacing w:line="312" w:lineRule="auto"/>
      <w:jc w:val="both"/>
      <w:textAlignment w:val="baseline"/>
    </w:pPr>
    <w:rPr>
      <w:rFonts w:ascii="黑体" w:hAnsi="Calibri" w:eastAsia="黑体" w:cs="Times New Roman"/>
      <w:color w:val="000000"/>
      <w:kern w:val="0"/>
      <w:sz w:val="24"/>
      <w:szCs w:val="24"/>
      <w:lang w:val="en-US" w:eastAsia="zh-CN" w:bidi="ar-SA"/>
    </w:rPr>
  </w:style>
  <w:style w:type="paragraph" w:customStyle="1" w:styleId="24">
    <w:name w:val="BodyText"/>
    <w:next w:val="23"/>
    <w:qFormat/>
    <w:uiPriority w:val="0"/>
    <w:pPr>
      <w:widowControl w:val="0"/>
      <w:jc w:val="both"/>
      <w:textAlignment w:val="baseline"/>
    </w:pPr>
    <w:rPr>
      <w:rFonts w:ascii="宋体" w:hAnsi="Arial" w:eastAsia="宋体" w:cs="Times New Roman"/>
      <w:color w:val="000000"/>
      <w:kern w:val="0"/>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theme" Target="theme/theme1.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header" Target="header13.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de70dc84-d9ad-47f5-bb48-2833b40aec0c</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06724b7d-6b3c-40ce-abe3-bebe76744c43</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05d6ff3a-8a6b-4fef-b7fb-412d0b25cef6</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b27a3ecc-ebf9-433a-811d-c09ed46bf097</errorID>
      <errorWord>(</errorWord>
      <group>L1_Format</group>
      <groupName>格式问题</groupName>
      <ability>L2_HalfPunc_CN</ability>
      <abilityName/>
      <candidateList>
        <item>（</item>
      </candidateList>
      <explain>文本全半角错误。</explain>
      <paraID>3F101CBD</paraID>
      <start>24</start>
      <end>25</end>
      <status>unmodified</status>
      <modifiedWord/>
      <trackRevisions>false</trackRevisions>
    </reviewItem>
    <reviewItem>
      <errorID>11c80b13-73bb-4d4f-b41f-076c5ddddb4a</errorID>
      <errorWord>)</errorWord>
      <group>L1_Format</group>
      <groupName>格式问题</groupName>
      <ability>L2_HalfPunc_CN</ability>
      <abilityName/>
      <candidateList>
        <item>）</item>
      </candidateList>
      <explain>文本全半角错误。</explain>
      <paraID>3F101CBD</paraID>
      <start>28</start>
      <end>29</end>
      <status>unmodified</status>
      <modifiedWord/>
      <trackRevisions>false</trackRevisions>
    </reviewItem>
    <reviewItem>
      <errorID>1e6cfbbc-34f2-49ea-939a-9d593a22c704</errorID>
      <errorWord>(</errorWord>
      <group>L1_Format</group>
      <groupName>格式问题</groupName>
      <ability>L2_HalfPunc_CN</ability>
      <abilityName/>
      <candidateList>
        <item>（</item>
      </candidateList>
      <explain>文本全半角错误。</explain>
      <paraID>1B79A440</paraID>
      <start>2</start>
      <end>3</end>
      <status>unmodified</status>
      <modifiedWord/>
      <trackRevisions>false</trackRevisions>
    </reviewItem>
    <reviewItem>
      <errorID>2248ddf0-59ef-49e2-867d-207e0f1566c3</errorID>
      <errorWord>)</errorWord>
      <group>L1_Format</group>
      <groupName>格式问题</groupName>
      <ability>L2_HalfPunc_CN</ability>
      <abilityName/>
      <candidateList>
        <item>）</item>
      </candidateList>
      <explain>文本全半角错误。</explain>
      <paraID>1B79A440</paraID>
      <start>6</start>
      <end>7</end>
      <status>unmodified</status>
      <modifiedWord/>
      <trackRevisions>false</trackRevisions>
    </reviewItem>
    <reviewItem>
      <errorID>8af9fdd4-32af-415d-a52e-5d9f001e7976</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cf73f6fa-cff4-43c9-b340-bca0f67280ef</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8e594a5b-8dae-42f0-ba73-bcb652eb78dd</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04a7808c-d481-44bf-90c4-b0fd5142f55a</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860cb02a-37cc-4575-b778-791906b25fe8</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361371a5-bc33-46af-8a26-da7beff5b0d0</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8f6ced38-85bc-40e5-8851-bff7ed5d0b25</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0fa7d8bf-68fa-4a93-8020-a14b2067028b</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edc501bf-56d0-4041-bfc9-b28ed357c838</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a1d96ea5-3b4a-4df0-bc2e-a94b7b481638</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d8d3b06b-fc6f-4299-bf98-32c9ca4d7714</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d3c59d24-12e4-4444-be8b-d6abdbab0041</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3126f96b-8d2a-4b47-8bc8-ad3b280ce67e</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2ef3dc17-01bf-4314-bf5e-1370b0fb932b</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d9893396-2f02-468f-8183-44d0101633e2</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610d8046-d327-4218-a1e9-d1de8779cd05</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eaa08acb-4fa8-4b35-9eb2-7c2bd96cecc6</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c33fb826-fa58-4806-9d1c-335d24bfadab</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5fe73783-05f9-4a41-903c-696835016ff0</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5b0ecc60-85ef-47df-8954-78d2bdb741f4</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e2e020eb-d475-459e-b1fd-d73a86bc54b8</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9dbe649a-588b-4d8b-9386-f6a8583ded3c</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46c1d075-ab9f-4a05-856b-3f453eeacd3c</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13b393e6-61ad-4197-8ba6-4457ef5cd3f9</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b32b6fc1-4c4e-4469-ac07-fcd707279235</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a5b1f4b6-424a-47e6-acf5-4f46f82174c3</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f88bcf30-d6a6-4b3f-8d76-04dafc82fe60</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6ebd636a-e2ec-49cf-b717-07fc6fcbfa08</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75dc6d21-218f-437d-8803-eeb182688126</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93d0be51-63a2-465a-86a0-b203289d9c61</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2f0dff7b-bdd1-4d15-bb14-09d74c117bd0</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7be6f41a-b2aa-4508-b6c3-64d1fa1e1f7b</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8f05f220-efbf-4872-9a44-1aa513452676</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deec3672-8a10-43bf-98e7-19dc28052446</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1f98b537-4c5d-4c7b-924c-279af603915f</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58f5a7e5-7e0f-45c2-b245-baa3b6ec84d9</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f3a19c04-e5ee-4100-8d53-653486ec1360</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4e230a2f-3fcc-4c6c-94fa-9f302d4495ef</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3749febc-1879-4b10-a2b8-0d68beb7dcd0</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384c11b2-d9ca-4dbd-8d0c-52719c038bb4</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08c80879-3617-4cb1-a7fa-86d9e8c936ed</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637b8f9a-8429-4619-b343-a7e69a905380</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c21527b5-d3c8-4ae7-a832-4db1a2e4eb90</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83360bd3-84f3-44b5-8461-635e3c4a6cf7</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5575ceb3-64d9-415e-91fe-a699db8bc44c</errorID>
      <errorWord>(</errorWord>
      <group>L1_Format</group>
      <groupName>格式问题</groupName>
      <ability>L2_HalfPunc_CN</ability>
      <abilityName/>
      <candidateList>
        <item>（</item>
      </candidateList>
      <explain>文本全半角错误。</explain>
      <paraID>7772D823</paraID>
      <start>24</start>
      <end>25</end>
      <status>unmodified</status>
      <modifiedWord/>
      <trackRevisions>false</trackRevisions>
    </reviewItem>
    <reviewItem>
      <errorID>8af850f1-53a9-408e-b7c7-1f0614f237f5</errorID>
      <errorWord>)</errorWord>
      <group>L1_Format</group>
      <groupName>格式问题</groupName>
      <ability>L2_HalfPunc_CN</ability>
      <abilityName/>
      <candidateList>
        <item>）</item>
      </candidateList>
      <explain>文本全半角错误。</explain>
      <paraID>7772D823</paraID>
      <start>28</start>
      <end>29</end>
      <status>unmodified</status>
      <modifiedWord/>
      <trackRevisions>false</trackRevisions>
    </reviewItem>
    <reviewItem>
      <errorID>e4c0e2fe-ca6c-4ca2-b992-a77526ad45ca</errorID>
      <errorWord>(</errorWord>
      <group>L1_Format</group>
      <groupName>格式问题</groupName>
      <ability>L2_HalfPunc_CN</ability>
      <abilityName/>
      <candidateList>
        <item>（</item>
      </candidateList>
      <explain>文本全半角错误。</explain>
      <paraID>50935149</paraID>
      <start>2</start>
      <end>3</end>
      <status>unmodified</status>
      <modifiedWord/>
      <trackRevisions>false</trackRevisions>
    </reviewItem>
    <reviewItem>
      <errorID>c0c678ed-abfc-4994-834c-73e708a1395a</errorID>
      <errorWord>)</errorWord>
      <group>L1_Format</group>
      <groupName>格式问题</groupName>
      <ability>L2_HalfPunc_CN</ability>
      <abilityName/>
      <candidateList>
        <item>）</item>
      </candidateList>
      <explain>文本全半角错误。</explain>
      <paraID>50935149</paraID>
      <start>6</start>
      <end>7</end>
      <status>unmodified</status>
      <modifiedWord/>
      <trackRevisions>false</trackRevisions>
    </reviewItem>
    <reviewItem>
      <errorID>ac2eedca-32db-4e38-ba35-1d6cd989750c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789fcc1e-0e0e-406b-83c7-450d2c671406</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2c199823-b420-4c16-b97f-ac980f15b5ed</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7b7d9ac7-15e0-472b-bb7b-bf37cd98884a</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6b7cb1a8-32d1-4833-9259-06ae8cdeb7e6</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b6011e5c-618d-4fb8-bc6f-3e10a29f3453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c3ee1b27-4201-4a79-943f-c2de1569a6b5</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69e8c21b-feb8-4d98-a5a2-a8e674bd45f5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ce4e63d8-966b-43a6-8728-3e2dde241fa9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4d878958-1c58-45e7-8765-ff7487550df1</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2eab3dd0-03a0-49f2-aaca-fc106d7c01a5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b90ab600-bd98-449d-b8be-2f0c85f5f853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cb230871-9816-45be-b18b-a77f01a21fe8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c5ac3ef4-9b9f-4531-99fa-7a9854f21c9a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af66eb31-398d-4e5b-a584-87483699cf36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7ddb9abc-05c3-47e9-83a4-4d85a774f166</errorID>
      <errorWord>(</errorWord>
      <group>L1_Format</group>
      <groupName>格式问题</groupName>
      <ability>L2_HalfPunc_CN</ability>
      <abilityName/>
      <candidateList>
        <item>（</item>
      </candidateList>
      <explain>文本全半角错误。</explain>
      <paraID>223F6CE4</paraID>
      <start>2</start>
      <end>3</end>
      <status>unmodified</status>
      <modifiedWord/>
      <trackRevisions>false</trackRevisions>
    </reviewItem>
    <reviewItem>
      <errorID>4dc81c89-b62f-4b63-93ec-752bea07872a</errorID>
      <errorWord>)</errorWord>
      <group>L1_Format</group>
      <groupName>格式问题</groupName>
      <ability>L2_HalfPunc_CN</ability>
      <abilityName/>
      <candidateList>
        <item>）</item>
      </candidateList>
      <explain>文本全半角错误。</explain>
      <paraID>223F6CE4</paraID>
      <start>6</start>
      <end>7</end>
      <status>unmodified</status>
      <modifiedWord/>
      <trackRevisions>false</trackRevisions>
    </reviewItem>
    <reviewItem>
      <errorID>8277461d-4de6-4a0a-bfff-81d18c720b55</errorID>
      <errorWord>(</errorWord>
      <group>L1_Format</group>
      <groupName>格式问题</groupName>
      <ability>L2_HalfPunc_CN</ability>
      <abilityName/>
      <candidateList>
        <item>（</item>
      </candidateList>
      <explain>文本全半角错误。</explain>
      <paraID>3AB522D9</paraID>
      <start>23</start>
      <end>24</end>
      <status>unmodified</status>
      <modifiedWord/>
      <trackRevisions>false</trackRevisions>
    </reviewItem>
    <reviewItem>
      <errorID>65e5465f-0b21-4be5-a920-ac00117e1d9a</errorID>
      <errorWord>)</errorWord>
      <group>L1_Format</group>
      <groupName>格式问题</groupName>
      <ability>L2_HalfPunc_CN</ability>
      <abilityName/>
      <candidateList>
        <item>）</item>
      </candidateList>
      <explain>文本全半角错误。</explain>
      <paraID>3AB522D9</paraID>
      <start>27</start>
      <end>28</end>
      <status>unmodified</status>
      <modifiedWord/>
      <trackRevisions>false</trackRevisions>
    </reviewItem>
    <reviewItem>
      <errorID>c5c717f3-d78b-447a-8ae5-803bb512aa86</errorID>
      <errorWord>’</errorWord>
      <group>L1_Punc</group>
      <groupName>标点问题</groupName>
      <ability>L2_Punc_CN</ability>
      <abilityName/>
      <candidateList/>
      <explain>此处标点可能未正确匹配，请检查句子中是否存在标点冗余、缺失或使用错误的情况。</explain>
      <paraID>3EC142E5</paraID>
      <start>40</start>
      <end>41</end>
      <status>unmodified</status>
      <modifiedWord/>
      <trackRevisions>false</trackRevisions>
    </reviewItem>
    <reviewItem>
      <errorID>b811c5c4-4b3d-464e-8580-c88b14af3958</errorID>
      <errorWord>医院的</errorWord>
      <group>L1_Word</group>
      <groupName>字词问题</groupName>
      <ability>L2_Typo</ability>
      <abilityName>字词错误</abilityName>
      <candidateList>
        <item>医院</item>
      </candidateList>
      <explain/>
      <paraID>5E8A70FD</paraID>
      <start>13</start>
      <end>16</end>
      <status>unmodified</status>
      <modifiedWord/>
      <trackRevisions>false</trackRevisions>
    </reviewItem>
    <reviewItem>
      <errorID>95277cb8-1598-4809-8e87-09acb1c3b8bc</errorID>
      <errorWord>,</errorWord>
      <group>L1_Format</group>
      <groupName>格式问题</groupName>
      <ability>L2_HalfPunc_CN</ability>
      <abilityName/>
      <candidateList>
        <item>，</item>
      </candidateList>
      <explain>文本全半角错误。</explain>
      <paraID>3BBDFC4B</paraID>
      <start>33</start>
      <end>34</end>
      <status>unmodified</status>
      <modifiedWord/>
      <trackRevisions>false</trackRevisions>
    </reviewItem>
    <reviewItem>
      <errorID>14eb2ef4-3c93-4976-b7d9-427c8dee594e</errorID>
      <errorWord>:</errorWord>
      <group>L1_Format</group>
      <groupName>格式问题</groupName>
      <ability>L2_HalfPunc_CN</ability>
      <abilityName/>
      <candidateList>
        <item>：</item>
      </candidateList>
      <explain>文本全半角错误。</explain>
      <paraID>5E724BB7</paraID>
      <start>15</start>
      <end>16</end>
      <status>unmodified</status>
      <modifiedWord/>
      <trackRevisions>false</trackRevisions>
    </reviewItem>
    <reviewItem>
      <errorID>2087a5af-807d-4d80-9897-ef41d9c40f28</errorID>
      <errorWord>）</errorWord>
      <group>L1_Punc</group>
      <groupName>标点问题</groupName>
      <ability>L2_Punc_CN</ability>
      <abilityName/>
      <candidateList/>
      <explain>此处标点可能未正确匹配，请检查句子中是否存在标点冗余、缺失或使用错误的情况。</explain>
      <paraID>47850E8A</paraID>
      <start>67</start>
      <end>68</end>
      <status>unmodified</status>
      <modifiedWord/>
      <trackRevisions>false</trackRevisions>
    </reviewItem>
    <reviewItem>
      <errorID>e3e787a4-e3e9-4744-ad48-61ea3b4e65cc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38531d3d-7aa1-4229-8e3a-215719bf6ed8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b0bfdd35-8352-4327-b093-93f548cb2c03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1f592fe6-8814-452d-a3b2-c4d253fb6ff1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bae9dec6-af69-4bdb-8275-87b61ab09c2e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2f5493dd-bce5-4029-b91c-ba39b8137c06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a3a36b58-4982-4eda-aaed-d9d94fbaf132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7a754092-cabf-4f81-894a-668b8fc840ba</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0fe19bd1-e42f-4dbe-b871-78c1708d0835</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513d9b76-7600-4b73-b6d6-381e95dcc4c6</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87466320-7604-4cbe-b74c-64bf01560032</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f419eeb1-9b4e-441e-baea-c2d02b7aa2b8</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c18a3e1c-a643-4794-918d-d21b085c4f14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1429fe2b-ad73-4748-a634-240e2fafd3e6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3f1f50dc-8d5d-444a-a3a1-41fc5b30d24c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2ebea41a-c0af-45d4-815f-895ed762f7cb</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acfa866a-ce42-462e-a4a2-4e2d0d967f14</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3b7854-a9e8-46fc-9912-e0fdee8346a2}">
  <ds:schemaRefs/>
</ds:datastoreItem>
</file>

<file path=docProps/app.xml><?xml version="1.0" encoding="utf-8"?>
<Properties xmlns="http://schemas.openxmlformats.org/officeDocument/2006/extended-properties" xmlns:vt="http://schemas.openxmlformats.org/officeDocument/2006/docPropsVTypes">
  <Pages>58</Pages>
  <Words>12723</Words>
  <Characters>13709</Characters>
  <TotalTime>1</TotalTime>
  <ScaleCrop>false</ScaleCrop>
  <LinksUpToDate>false</LinksUpToDate>
  <CharactersWithSpaces>14064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dcterms:modified xsi:type="dcterms:W3CDTF">2026-06-04T06:22:57Z</dcterms:modified>
  <dc:title>淮安市洪泽区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